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bookmarkStart w:id="1" w:name="_GoBack"/>
    <w:bookmarkEnd w:id="0"/>
    <w:p w14:paraId="5837A197" w14:textId="75BF9DBC" w:rsidR="009B6F95" w:rsidRPr="00C803F3" w:rsidRDefault="004D1EE2" w:rsidP="004D1EE2">
      <w:pPr>
        <w:pStyle w:val="Title1"/>
        <w:ind w:left="0" w:firstLine="0"/>
      </w:pPr>
      <w:r w:rsidRPr="004D1EE2">
        <w:t>LGA Annual Fire Conference and Exhibition date and venue for 2020</w:t>
      </w:r>
    </w:p>
    <w:bookmarkEnd w:id="1" w:displacedByCustomXml="next"/>
    <w:sdt>
      <w:sdtPr>
        <w:rPr>
          <w:rStyle w:val="Style6"/>
        </w:rPr>
        <w:alias w:val="Purpose of report"/>
        <w:tag w:val="Purpose of report"/>
        <w:id w:val="-783727919"/>
        <w:lock w:val="sdtLocked"/>
        <w:placeholder>
          <w:docPart w:val="8FBDDDA01D65464796E9587F8A76D995"/>
        </w:placeholder>
      </w:sdt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5837A199" w14:textId="12679823" w:rsidR="00795C95" w:rsidRDefault="004D1EE2"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Content>
        <w:p w14:paraId="5837A19B" w14:textId="77777777" w:rsidR="009B6F95" w:rsidRPr="00A627DD" w:rsidRDefault="009B6F95" w:rsidP="00B84F31">
          <w:pPr>
            <w:ind w:left="0" w:firstLine="0"/>
          </w:pPr>
          <w:r w:rsidRPr="00C803F3">
            <w:rPr>
              <w:rStyle w:val="Style6"/>
            </w:rPr>
            <w:t>Summary</w:t>
          </w:r>
        </w:p>
      </w:sdtContent>
    </w:sdt>
    <w:p w14:paraId="5837A19D" w14:textId="2D8596C1" w:rsidR="009B6F95" w:rsidRDefault="004D1EE2" w:rsidP="004D1EE2">
      <w:pPr>
        <w:pStyle w:val="Title3"/>
      </w:pPr>
      <w:r w:rsidRPr="004D1EE2">
        <w:t xml:space="preserve">This paper sets out the venue options for the 2020 fire conference and exhibition. It seeks the Committee’s views on which venue officers should proceed to book.  </w:t>
      </w:r>
    </w:p>
    <w:p w14:paraId="5837A19E" w14:textId="77777777" w:rsidR="009B6F95" w:rsidRDefault="00C803F3" w:rsidP="004D1EE2">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4D1EE2" w:rsidRDefault="004D1EE2"/>
                          <w:sdt>
                            <w:sdtPr>
                              <w:rPr>
                                <w:rStyle w:val="Style6"/>
                              </w:rPr>
                              <w:alias w:val="Recommendations"/>
                              <w:tag w:val="Recommendations"/>
                              <w:id w:val="-1634171231"/>
                              <w:placeholder>
                                <w:docPart w:val="6A9E8857DB8647FABF64567742B78AD3"/>
                              </w:placeholder>
                            </w:sdtPr>
                            <w:sdtContent>
                              <w:p w14:paraId="5837A1DD" w14:textId="6B8C04B1" w:rsidR="004D1EE2" w:rsidRPr="00A627DD" w:rsidRDefault="004D1EE2" w:rsidP="00B84F31">
                                <w:pPr>
                                  <w:ind w:left="0" w:firstLine="0"/>
                                </w:pPr>
                                <w:r>
                                  <w:rPr>
                                    <w:rStyle w:val="Style6"/>
                                  </w:rPr>
                                  <w:t>Recommendation</w:t>
                                </w:r>
                              </w:p>
                            </w:sdtContent>
                          </w:sdt>
                          <w:p w14:paraId="7513E7B0" w14:textId="77777777" w:rsidR="004D1EE2" w:rsidRDefault="004D1EE2" w:rsidP="00B84F31">
                            <w:pPr>
                              <w:ind w:left="0" w:firstLine="0"/>
                            </w:pPr>
                            <w:r w:rsidRPr="004D1EE2">
                              <w:t>Members are asked to agree the venue and location for the 2020 Fire Conference and Exhibition.</w:t>
                            </w:r>
                          </w:p>
                          <w:p w14:paraId="5837A1DF" w14:textId="1F23DC91" w:rsidR="004D1EE2" w:rsidRPr="00A627DD" w:rsidRDefault="004D1EE2"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14:paraId="77351A02" w14:textId="77777777" w:rsidR="004D1EE2" w:rsidRPr="00552670" w:rsidRDefault="004D1EE2" w:rsidP="004D1EE2">
                            <w:pPr>
                              <w:spacing w:after="0" w:line="280" w:lineRule="exact"/>
                              <w:rPr>
                                <w:rFonts w:eastAsia="Times New Roman" w:cs="Arial"/>
                                <w:lang w:eastAsia="en-GB"/>
                              </w:rPr>
                            </w:pPr>
                            <w:r w:rsidRPr="00552670">
                              <w:rPr>
                                <w:rFonts w:eastAsia="Times New Roman" w:cs="Arial"/>
                                <w:lang w:eastAsia="en-GB"/>
                              </w:rPr>
                              <w:t>Officers to reflect Members’ comments in conference planning.</w:t>
                            </w:r>
                          </w:p>
                          <w:p w14:paraId="5837A1E1" w14:textId="77777777" w:rsidR="004D1EE2" w:rsidRDefault="004D1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4D1EE2" w:rsidRDefault="004D1EE2"/>
                    <w:sdt>
                      <w:sdtPr>
                        <w:rPr>
                          <w:rStyle w:val="Style6"/>
                        </w:rPr>
                        <w:alias w:val="Recommendations"/>
                        <w:tag w:val="Recommendations"/>
                        <w:id w:val="-1634171231"/>
                        <w:placeholder>
                          <w:docPart w:val="6A9E8857DB8647FABF64567742B78AD3"/>
                        </w:placeholder>
                      </w:sdtPr>
                      <w:sdtContent>
                        <w:p w14:paraId="5837A1DD" w14:textId="6B8C04B1" w:rsidR="004D1EE2" w:rsidRPr="00A627DD" w:rsidRDefault="004D1EE2" w:rsidP="00B84F31">
                          <w:pPr>
                            <w:ind w:left="0" w:firstLine="0"/>
                          </w:pPr>
                          <w:r>
                            <w:rPr>
                              <w:rStyle w:val="Style6"/>
                            </w:rPr>
                            <w:t>Recommendation</w:t>
                          </w:r>
                        </w:p>
                      </w:sdtContent>
                    </w:sdt>
                    <w:p w14:paraId="7513E7B0" w14:textId="77777777" w:rsidR="004D1EE2" w:rsidRDefault="004D1EE2" w:rsidP="00B84F31">
                      <w:pPr>
                        <w:ind w:left="0" w:firstLine="0"/>
                      </w:pPr>
                      <w:r w:rsidRPr="004D1EE2">
                        <w:t>Members are asked to agree the venue and location for the 2020 Fire Conference and Exhibition.</w:t>
                      </w:r>
                    </w:p>
                    <w:p w14:paraId="5837A1DF" w14:textId="1F23DC91" w:rsidR="004D1EE2" w:rsidRPr="00A627DD" w:rsidRDefault="004D1EE2"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14:paraId="77351A02" w14:textId="77777777" w:rsidR="004D1EE2" w:rsidRPr="00552670" w:rsidRDefault="004D1EE2" w:rsidP="004D1EE2">
                      <w:pPr>
                        <w:spacing w:after="0" w:line="280" w:lineRule="exact"/>
                        <w:rPr>
                          <w:rFonts w:eastAsia="Times New Roman" w:cs="Arial"/>
                          <w:lang w:eastAsia="en-GB"/>
                        </w:rPr>
                      </w:pPr>
                      <w:r w:rsidRPr="00552670">
                        <w:rPr>
                          <w:rFonts w:eastAsia="Times New Roman" w:cs="Arial"/>
                          <w:lang w:eastAsia="en-GB"/>
                        </w:rPr>
                        <w:t>Officers to reflect Members’ comments in conference planning.</w:t>
                      </w:r>
                    </w:p>
                    <w:p w14:paraId="5837A1E1" w14:textId="77777777" w:rsidR="004D1EE2" w:rsidRDefault="004D1EE2"/>
                  </w:txbxContent>
                </v:textbox>
                <w10:wrap anchorx="margin"/>
              </v:shape>
            </w:pict>
          </mc:Fallback>
        </mc:AlternateContent>
      </w:r>
    </w:p>
    <w:p w14:paraId="5837A19F" w14:textId="77777777" w:rsidR="009B6F95" w:rsidRDefault="009B6F95" w:rsidP="004D1EE2">
      <w:pPr>
        <w:pStyle w:val="Title3"/>
      </w:pPr>
    </w:p>
    <w:p w14:paraId="5837A1A0" w14:textId="77777777" w:rsidR="009B6F95" w:rsidRDefault="009B6F95" w:rsidP="004D1EE2">
      <w:pPr>
        <w:pStyle w:val="Title3"/>
      </w:pPr>
    </w:p>
    <w:p w14:paraId="5837A1A1" w14:textId="77777777" w:rsidR="009B6F95" w:rsidRDefault="009B6F95" w:rsidP="004D1EE2">
      <w:pPr>
        <w:pStyle w:val="Title3"/>
      </w:pPr>
    </w:p>
    <w:p w14:paraId="5837A1A2" w14:textId="77777777" w:rsidR="009B6F95" w:rsidRDefault="009B6F95" w:rsidP="004D1EE2">
      <w:pPr>
        <w:pStyle w:val="Title3"/>
      </w:pPr>
    </w:p>
    <w:p w14:paraId="5837A1A3" w14:textId="77777777" w:rsidR="009B6F95" w:rsidRDefault="009B6F95" w:rsidP="004D1EE2">
      <w:pPr>
        <w:pStyle w:val="Title3"/>
      </w:pPr>
    </w:p>
    <w:p w14:paraId="5837A1A4" w14:textId="77777777" w:rsidR="009B6F95" w:rsidRDefault="009B6F95" w:rsidP="004D1EE2">
      <w:pPr>
        <w:pStyle w:val="Title3"/>
      </w:pPr>
    </w:p>
    <w:p w14:paraId="5837A1A5" w14:textId="77777777" w:rsidR="009B6F95" w:rsidRDefault="009B6F95" w:rsidP="004D1EE2">
      <w:pPr>
        <w:pStyle w:val="Title3"/>
      </w:pPr>
    </w:p>
    <w:p w14:paraId="5837A1A7" w14:textId="77777777" w:rsidR="009B6F95" w:rsidRDefault="009B6F95" w:rsidP="004D1EE2">
      <w:pPr>
        <w:pStyle w:val="Title3"/>
      </w:pPr>
    </w:p>
    <w:p w14:paraId="5837A1A8" w14:textId="6C6607F6" w:rsidR="009B6F95" w:rsidRPr="00C803F3" w:rsidRDefault="004D1EE2" w:rsidP="000F69FB">
      <w:sdt>
        <w:sdtPr>
          <w:rPr>
            <w:rStyle w:val="Style2"/>
          </w:rPr>
          <w:id w:val="-1751574325"/>
          <w:lock w:val="contentLocked"/>
          <w:placeholder>
            <w:docPart w:val="2A0B69953C334DA29F4AA2DA11A20895"/>
          </w:placeholder>
        </w:sdtPr>
        <w:sdtContent>
          <w:r w:rsidR="009B6F95">
            <w:rPr>
              <w:rStyle w:val="Style2"/>
            </w:rPr>
            <w:t>Contact officer:</w:t>
          </w:r>
        </w:sdtContent>
      </w:sdt>
      <w:r w:rsidR="009B6F95" w:rsidRPr="00A627DD">
        <w:tab/>
      </w:r>
      <w:r w:rsidR="009B6F95" w:rsidRPr="00A627DD">
        <w:tab/>
      </w:r>
      <w:sdt>
        <w:sdtPr>
          <w:rPr>
            <w:rFonts w:eastAsia="Times New Roman" w:cs="Arial"/>
            <w:lang w:eastAsia="en-GB"/>
          </w:rPr>
          <w:alias w:val="Contact officer"/>
          <w:tag w:val="Contact officer"/>
          <w:id w:val="1986894198"/>
          <w:placeholder>
            <w:docPart w:val="612AD7A44EDB4762853B2D70AF17F626"/>
          </w:placeholder>
          <w:text w:multiLine="1"/>
        </w:sdtPr>
        <w:sdtContent>
          <w:r w:rsidRPr="004D1EE2">
            <w:rPr>
              <w:rFonts w:eastAsia="Times New Roman" w:cs="Arial"/>
              <w:lang w:eastAsia="en-GB"/>
            </w:rPr>
            <w:t>Catriona Coyle</w:t>
          </w:r>
        </w:sdtContent>
      </w:sdt>
    </w:p>
    <w:p w14:paraId="5837A1A9" w14:textId="5B0ECF5A" w:rsidR="009B6F95" w:rsidRDefault="004D1EE2" w:rsidP="000F69FB">
      <w:sdt>
        <w:sdtPr>
          <w:rPr>
            <w:rStyle w:val="Style2"/>
          </w:rPr>
          <w:id w:val="1940027828"/>
          <w:lock w:val="contentLocked"/>
          <w:placeholder>
            <w:docPart w:val="5DA5FCDD5DE24111B5E40C7C6DC954DD"/>
          </w:placeholder>
        </w:sdtPr>
        <w:sdtContent>
          <w:r w:rsidR="009B6F95">
            <w:rPr>
              <w:rStyle w:val="Style2"/>
            </w:rPr>
            <w:t>Position:</w:t>
          </w:r>
        </w:sdtContent>
      </w:sdt>
      <w:r w:rsidR="009B6F95" w:rsidRPr="00A627DD">
        <w:tab/>
      </w:r>
      <w:r w:rsidR="009B6F95" w:rsidRPr="00A627DD">
        <w:tab/>
      </w:r>
      <w:r w:rsidR="009B6F95" w:rsidRPr="00A627DD">
        <w:tab/>
      </w:r>
      <w:sdt>
        <w:sdtPr>
          <w:rPr>
            <w:rFonts w:eastAsia="Times New Roman" w:cs="Arial"/>
            <w:lang w:eastAsia="en-GB"/>
          </w:rPr>
          <w:alias w:val="Position"/>
          <w:tag w:val="Contact officer"/>
          <w:id w:val="2049946449"/>
          <w:placeholder>
            <w:docPart w:val="B5D4B6342EAB4E63B8BDB1156776B295"/>
          </w:placeholder>
          <w:text w:multiLine="1"/>
        </w:sdtPr>
        <w:sdtContent>
          <w:r w:rsidRPr="004D1EE2">
            <w:rPr>
              <w:rFonts w:eastAsia="Times New Roman" w:cs="Arial"/>
              <w:lang w:eastAsia="en-GB"/>
            </w:rPr>
            <w:t>Events Manager, LGA</w:t>
          </w:r>
        </w:sdtContent>
      </w:sdt>
    </w:p>
    <w:p w14:paraId="5837A1AA" w14:textId="2CA9606B" w:rsidR="009B6F95" w:rsidRDefault="004D1EE2" w:rsidP="000F69FB">
      <w:sdt>
        <w:sdtPr>
          <w:rPr>
            <w:rStyle w:val="Style2"/>
          </w:rPr>
          <w:id w:val="1040625228"/>
          <w:lock w:val="contentLocked"/>
          <w:placeholder>
            <w:docPart w:val="D0FBEB16E9CB482E827B08B4F87AD0BA"/>
          </w:placeholder>
        </w:sdtPr>
        <w:sdtContent>
          <w:r w:rsidR="009B6F95">
            <w:rPr>
              <w:rStyle w:val="Style2"/>
            </w:rPr>
            <w:t>Phone no:</w:t>
          </w:r>
        </w:sdtContent>
      </w:sdt>
      <w:r w:rsidR="009B6F95" w:rsidRPr="00A627DD">
        <w:tab/>
      </w:r>
      <w:r w:rsidR="009B6F95" w:rsidRPr="00A627DD">
        <w:tab/>
      </w:r>
      <w:r w:rsidR="009B6F95" w:rsidRPr="00A627DD">
        <w:tab/>
      </w:r>
      <w:r w:rsidRPr="002C2A81">
        <w:rPr>
          <w:rFonts w:eastAsia="Times New Roman" w:cs="Arial"/>
          <w:lang w:eastAsia="en-GB"/>
        </w:rPr>
        <w:t>020 7664 3385</w:t>
      </w:r>
    </w:p>
    <w:p w14:paraId="5837A1AB" w14:textId="733E3B52" w:rsidR="009B6F95" w:rsidRDefault="004D1EE2" w:rsidP="004D1EE2">
      <w:pPr>
        <w:pStyle w:val="Title3"/>
      </w:pPr>
      <w:sdt>
        <w:sdtPr>
          <w:rPr>
            <w:rStyle w:val="Style2"/>
          </w:rPr>
          <w:id w:val="614409820"/>
          <w:lock w:val="contentLocked"/>
          <w:placeholder>
            <w:docPart w:val="1E0CC31CDB354A1ABB229C915C28760C"/>
          </w:placeholder>
        </w:sdt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Content>
          <w:r w:rsidRPr="004D1EE2">
            <w:t>catriona.coyle@local.gov.uk</w:t>
          </w:r>
        </w:sdtContent>
      </w:sdt>
    </w:p>
    <w:p w14:paraId="5837A1AC" w14:textId="77777777" w:rsidR="009B6F95" w:rsidRPr="00E8118A" w:rsidRDefault="009B6F95" w:rsidP="004D1EE2">
      <w:pPr>
        <w:pStyle w:val="Title3"/>
      </w:pPr>
    </w:p>
    <w:p w14:paraId="5837A1AD" w14:textId="77777777" w:rsidR="009B6F95" w:rsidRPr="00C803F3" w:rsidRDefault="009B6F95" w:rsidP="004D1EE2">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B3" w14:textId="014FDA8F" w:rsidR="00C803F3" w:rsidRDefault="000F69FB" w:rsidP="004D1EE2">
      <w:pPr>
        <w:pStyle w:val="Title1"/>
        <w:ind w:left="0" w:firstLine="0"/>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786086783"/>
          <w:placeholder>
            <w:docPart w:val="52C62D73F0FC42128968D36894ABCCA0"/>
          </w:placeholder>
          <w:text w:multiLine="1"/>
        </w:sdtPr>
        <w:sdtContent>
          <w:r w:rsidR="004D1EE2" w:rsidRPr="004D1EE2">
            <w:rPr>
              <w:rFonts w:eastAsiaTheme="minorEastAsia" w:cs="Arial"/>
              <w:bCs/>
              <w:lang w:eastAsia="ja-JP"/>
            </w:rPr>
            <w:t>LGA Annual Fire Conference and Exhibition date and venue for 2020</w:t>
          </w:r>
        </w:sdtContent>
      </w:sdt>
      <w:r>
        <w:fldChar w:fldCharType="end"/>
      </w:r>
    </w:p>
    <w:p w14:paraId="5837A1B4" w14:textId="77777777" w:rsidR="009B6F95" w:rsidRPr="00C803F3" w:rsidRDefault="004D1EE2" w:rsidP="000F69FB">
      <w:pPr>
        <w:rPr>
          <w:rStyle w:val="ReportTemplate"/>
        </w:rPr>
      </w:pPr>
      <w:sdt>
        <w:sdtPr>
          <w:rPr>
            <w:rStyle w:val="Style6"/>
          </w:rPr>
          <w:alias w:val="Background"/>
          <w:tag w:val="Background"/>
          <w:id w:val="-1335600510"/>
          <w:placeholder>
            <w:docPart w:val="1444C70DB0544F7FA5791133FDBCBD91"/>
          </w:placeholder>
        </w:sdtPr>
        <w:sdtContent>
          <w:r w:rsidR="009B6F95" w:rsidRPr="00301A51">
            <w:rPr>
              <w:rStyle w:val="Style6"/>
            </w:rPr>
            <w:t>Background</w:t>
          </w:r>
        </w:sdtContent>
      </w:sdt>
    </w:p>
    <w:p w14:paraId="6A78844A" w14:textId="76B84FA4" w:rsidR="004D1EE2" w:rsidRDefault="004D1EE2" w:rsidP="004D1EE2">
      <w:pPr>
        <w:pStyle w:val="ListParagraph"/>
        <w:rPr>
          <w:lang w:eastAsia="en-GB"/>
        </w:rPr>
      </w:pPr>
      <w:r w:rsidRPr="002C2A81">
        <w:rPr>
          <w:lang w:eastAsia="en-GB"/>
        </w:rPr>
        <w:t>The LGA annual Fire Conference and Exhibition has attracted an average of 230 delegates and a range of exhibitors and sponsors in recent years. The event is considered to be an important part of the annual fire industry calendar, one of the showcase events organised by the LGA and an important income-generator.</w:t>
      </w:r>
    </w:p>
    <w:p w14:paraId="17D44F7A" w14:textId="77777777" w:rsidR="004D1EE2" w:rsidRPr="004D1EE2" w:rsidRDefault="004D1EE2" w:rsidP="004D1EE2">
      <w:pPr>
        <w:pStyle w:val="ListParagraph"/>
        <w:numPr>
          <w:ilvl w:val="0"/>
          <w:numId w:val="0"/>
        </w:numPr>
        <w:ind w:left="360"/>
        <w:rPr>
          <w:lang w:eastAsia="en-GB"/>
        </w:rPr>
      </w:pPr>
    </w:p>
    <w:p w14:paraId="5837A1B6" w14:textId="555D1818" w:rsidR="00C803F3" w:rsidRDefault="004D1EE2" w:rsidP="004D1EE2">
      <w:pPr>
        <w:pStyle w:val="ListParagraph"/>
        <w:rPr>
          <w:rStyle w:val="ReportTemplate"/>
          <w:lang w:eastAsia="en-GB"/>
        </w:rPr>
      </w:pPr>
      <w:r w:rsidRPr="002C2A81">
        <w:rPr>
          <w:lang w:eastAsia="en-GB"/>
        </w:rPr>
        <w:t xml:space="preserve">Numbers for the 2019 are currently on par with 2018 though numbers of attendees have been decreasing slightly in recent years.  </w:t>
      </w:r>
    </w:p>
    <w:sdt>
      <w:sdtPr>
        <w:rPr>
          <w:rStyle w:val="Style6"/>
        </w:rPr>
        <w:alias w:val="Issues"/>
        <w:tag w:val="Issues"/>
        <w:id w:val="-1684430981"/>
        <w:placeholder>
          <w:docPart w:val="1444C70DB0544F7FA5791133FDBCBD91"/>
        </w:placeholder>
      </w:sdtPr>
      <w:sdtContent>
        <w:p w14:paraId="6461B045" w14:textId="77777777" w:rsidR="004D1EE2" w:rsidRDefault="004D1EE2" w:rsidP="004D1EE2">
          <w:pPr>
            <w:spacing w:after="0" w:line="240" w:lineRule="auto"/>
            <w:rPr>
              <w:rFonts w:eastAsia="Times New Roman" w:cs="Arial"/>
              <w:b/>
              <w:lang w:eastAsia="en-GB"/>
            </w:rPr>
          </w:pPr>
          <w:r w:rsidRPr="002C2A81">
            <w:rPr>
              <w:rFonts w:eastAsia="Times New Roman" w:cs="Arial"/>
              <w:b/>
              <w:lang w:eastAsia="en-GB"/>
            </w:rPr>
            <w:t>Considerations</w:t>
          </w:r>
        </w:p>
        <w:p w14:paraId="5837A1B8" w14:textId="12B4416D" w:rsidR="009B6F95" w:rsidRPr="004D1EE2" w:rsidRDefault="004D1EE2" w:rsidP="004D1EE2">
          <w:pPr>
            <w:spacing w:after="0" w:line="240" w:lineRule="auto"/>
            <w:rPr>
              <w:rStyle w:val="ReportTemplate"/>
              <w:rFonts w:eastAsia="Times New Roman" w:cs="Arial"/>
              <w:b/>
              <w:lang w:eastAsia="en-GB"/>
            </w:rPr>
          </w:pPr>
        </w:p>
      </w:sdtContent>
    </w:sdt>
    <w:p w14:paraId="1B02720F" w14:textId="77777777" w:rsidR="004D1EE2" w:rsidRDefault="004D1EE2" w:rsidP="004D1EE2">
      <w:pPr>
        <w:pStyle w:val="ListParagraph"/>
        <w:rPr>
          <w:lang w:eastAsia="en-GB"/>
        </w:rPr>
      </w:pPr>
      <w:r w:rsidRPr="002C2A81">
        <w:rPr>
          <w:lang w:eastAsia="en-GB"/>
        </w:rPr>
        <w:t>The FSMC has previously agreed that the following criteria must be taken into consideration when sourcing a venue for this annual conference:</w:t>
      </w:r>
    </w:p>
    <w:p w14:paraId="3B663BCA" w14:textId="77777777" w:rsidR="004D1EE2" w:rsidRPr="002C2A81" w:rsidRDefault="004D1EE2" w:rsidP="004D1EE2">
      <w:pPr>
        <w:pStyle w:val="ListParagraph"/>
        <w:numPr>
          <w:ilvl w:val="0"/>
          <w:numId w:val="0"/>
        </w:numPr>
        <w:ind w:left="360"/>
        <w:rPr>
          <w:lang w:eastAsia="en-GB"/>
        </w:rPr>
      </w:pPr>
    </w:p>
    <w:p w14:paraId="5837A1BA" w14:textId="524F69AA" w:rsidR="009B6F95" w:rsidRDefault="004D1EE2" w:rsidP="004D1EE2">
      <w:pPr>
        <w:pStyle w:val="ListParagraph"/>
        <w:numPr>
          <w:ilvl w:val="1"/>
          <w:numId w:val="1"/>
        </w:numPr>
      </w:pPr>
      <w:r w:rsidRPr="002C2A81">
        <w:t xml:space="preserve">to only consider venues of a high standard that have in place a fire sprinkler system throughout; </w:t>
      </w:r>
    </w:p>
    <w:p w14:paraId="0E0257B8" w14:textId="77777777" w:rsidR="004D1EE2" w:rsidRDefault="004D1EE2" w:rsidP="004D1EE2">
      <w:pPr>
        <w:pStyle w:val="ListParagraph"/>
        <w:numPr>
          <w:ilvl w:val="0"/>
          <w:numId w:val="0"/>
        </w:numPr>
        <w:ind w:left="792"/>
      </w:pPr>
    </w:p>
    <w:p w14:paraId="758DCF12" w14:textId="77777777" w:rsidR="004D1EE2" w:rsidRPr="004D1EE2" w:rsidRDefault="004D1EE2" w:rsidP="004D1EE2">
      <w:pPr>
        <w:pStyle w:val="ListParagraph"/>
        <w:numPr>
          <w:ilvl w:val="1"/>
          <w:numId w:val="1"/>
        </w:numPr>
        <w:rPr>
          <w:rStyle w:val="ReportTemplate"/>
        </w:rPr>
      </w:pPr>
      <w:r w:rsidRPr="004D1EE2">
        <w:rPr>
          <w:rStyle w:val="ReportTemplate"/>
        </w:rPr>
        <w:t>to only consider venues that can provide both conference rooms and accommodation; and</w:t>
      </w:r>
    </w:p>
    <w:p w14:paraId="5C4DE25E" w14:textId="77777777" w:rsidR="004D1EE2" w:rsidRPr="004D1EE2" w:rsidRDefault="004D1EE2" w:rsidP="004D1EE2">
      <w:pPr>
        <w:pStyle w:val="ListParagraph"/>
        <w:numPr>
          <w:ilvl w:val="0"/>
          <w:numId w:val="0"/>
        </w:numPr>
        <w:ind w:left="792"/>
        <w:rPr>
          <w:rStyle w:val="ReportTemplate"/>
        </w:rPr>
      </w:pPr>
    </w:p>
    <w:p w14:paraId="32F221AA" w14:textId="77777777" w:rsidR="004D1EE2" w:rsidRDefault="004D1EE2" w:rsidP="004D1EE2">
      <w:pPr>
        <w:pStyle w:val="ListParagraph"/>
        <w:numPr>
          <w:ilvl w:val="1"/>
          <w:numId w:val="1"/>
        </w:numPr>
        <w:rPr>
          <w:rStyle w:val="ReportTemplate"/>
        </w:rPr>
      </w:pPr>
      <w:r w:rsidRPr="004D1EE2">
        <w:rPr>
          <w:rStyle w:val="ReportTemplate"/>
        </w:rPr>
        <w:t>to continue to hold the conference over two days (finishing with lunch on the second day).</w:t>
      </w:r>
    </w:p>
    <w:p w14:paraId="63B985DC" w14:textId="77777777" w:rsidR="004D1EE2" w:rsidRPr="004D1EE2" w:rsidRDefault="004D1EE2" w:rsidP="004D1EE2">
      <w:pPr>
        <w:pStyle w:val="ListParagraph"/>
        <w:numPr>
          <w:ilvl w:val="0"/>
          <w:numId w:val="0"/>
        </w:numPr>
        <w:ind w:left="792"/>
        <w:rPr>
          <w:rStyle w:val="ReportTemplate"/>
        </w:rPr>
      </w:pPr>
    </w:p>
    <w:p w14:paraId="05E75E41" w14:textId="05F08724" w:rsidR="004D1EE2" w:rsidRPr="002C2A81" w:rsidRDefault="004D1EE2" w:rsidP="004D1EE2">
      <w:pPr>
        <w:pStyle w:val="ListParagraph"/>
        <w:rPr>
          <w:lang w:eastAsia="en-GB"/>
        </w:rPr>
      </w:pPr>
      <w:r w:rsidRPr="002C2A81">
        <w:rPr>
          <w:lang w:eastAsia="en-GB"/>
        </w:rPr>
        <w:t>Other factors have emerged during the organisation of past conferences which also need to be taken on board when organising future conferences and these include:</w:t>
      </w:r>
    </w:p>
    <w:p w14:paraId="38470A4A" w14:textId="77777777" w:rsidR="004D1EE2" w:rsidRPr="002C2A81" w:rsidRDefault="004D1EE2" w:rsidP="004D1EE2">
      <w:pPr>
        <w:numPr>
          <w:ilvl w:val="1"/>
          <w:numId w:val="1"/>
        </w:numPr>
        <w:spacing w:after="0" w:line="240" w:lineRule="auto"/>
        <w:rPr>
          <w:rFonts w:eastAsia="Times New Roman" w:cs="Arial"/>
          <w:lang w:eastAsia="en-GB"/>
        </w:rPr>
      </w:pPr>
      <w:r w:rsidRPr="002C2A81">
        <w:rPr>
          <w:rFonts w:eastAsia="Times New Roman" w:cs="Arial"/>
          <w:lang w:eastAsia="en-GB"/>
        </w:rPr>
        <w:t>the need to negotiate a larger number of bedrooms at the chosen conference hotel;</w:t>
      </w:r>
    </w:p>
    <w:p w14:paraId="186278E0" w14:textId="77777777" w:rsidR="004D1EE2" w:rsidRPr="002C2A81" w:rsidRDefault="004D1EE2" w:rsidP="004D1EE2">
      <w:pPr>
        <w:spacing w:after="0" w:line="240" w:lineRule="auto"/>
        <w:ind w:left="1137"/>
        <w:rPr>
          <w:rFonts w:eastAsia="Times New Roman" w:cs="Arial"/>
          <w:lang w:eastAsia="en-GB"/>
        </w:rPr>
      </w:pPr>
    </w:p>
    <w:p w14:paraId="14C3E180" w14:textId="77777777" w:rsidR="004D1EE2" w:rsidRPr="002C2A81" w:rsidRDefault="004D1EE2" w:rsidP="004D1EE2">
      <w:pPr>
        <w:numPr>
          <w:ilvl w:val="1"/>
          <w:numId w:val="1"/>
        </w:numPr>
        <w:spacing w:after="0" w:line="240" w:lineRule="auto"/>
        <w:rPr>
          <w:rFonts w:eastAsia="Times New Roman" w:cs="Arial"/>
          <w:lang w:eastAsia="en-GB"/>
        </w:rPr>
      </w:pPr>
      <w:r w:rsidRPr="002C2A81">
        <w:rPr>
          <w:rFonts w:eastAsia="Times New Roman" w:cs="Arial"/>
          <w:lang w:eastAsia="en-GB"/>
        </w:rPr>
        <w:t>to have a larger exhibition area to accommodate increased demand from commercial exhibitors (we have 19 exhibition stands at this years’ conference); and</w:t>
      </w:r>
    </w:p>
    <w:p w14:paraId="39AEA0DA" w14:textId="77777777" w:rsidR="004D1EE2" w:rsidRPr="002C2A81" w:rsidRDefault="004D1EE2" w:rsidP="004D1EE2">
      <w:pPr>
        <w:spacing w:after="0" w:line="240" w:lineRule="auto"/>
        <w:rPr>
          <w:rFonts w:eastAsia="Times New Roman" w:cs="Arial"/>
          <w:lang w:eastAsia="en-GB"/>
        </w:rPr>
      </w:pPr>
    </w:p>
    <w:p w14:paraId="7B5D8B41" w14:textId="77777777" w:rsidR="004D1EE2" w:rsidRDefault="004D1EE2" w:rsidP="004D1EE2">
      <w:pPr>
        <w:numPr>
          <w:ilvl w:val="1"/>
          <w:numId w:val="1"/>
        </w:numPr>
        <w:spacing w:after="0" w:line="240" w:lineRule="auto"/>
        <w:rPr>
          <w:rFonts w:eastAsia="Times New Roman" w:cs="Arial"/>
          <w:lang w:eastAsia="en-GB"/>
        </w:rPr>
      </w:pPr>
      <w:r w:rsidRPr="002C2A81">
        <w:rPr>
          <w:rFonts w:eastAsia="Times New Roman" w:cs="Arial"/>
          <w:lang w:eastAsia="en-GB"/>
        </w:rPr>
        <w:t xml:space="preserve">to ensure that all the workshop rooms are of a sufficient size to accommodate delegate numbers. </w:t>
      </w:r>
    </w:p>
    <w:p w14:paraId="4B599D31" w14:textId="77777777" w:rsidR="004D1EE2" w:rsidRPr="002C2A81" w:rsidRDefault="004D1EE2" w:rsidP="004D1EE2">
      <w:pPr>
        <w:spacing w:after="0" w:line="240" w:lineRule="auto"/>
        <w:ind w:left="792" w:firstLine="0"/>
        <w:rPr>
          <w:rFonts w:eastAsia="Times New Roman" w:cs="Arial"/>
          <w:lang w:eastAsia="en-GB"/>
        </w:rPr>
      </w:pPr>
    </w:p>
    <w:p w14:paraId="68F7955D" w14:textId="77777777" w:rsidR="004D1EE2" w:rsidRPr="002C2A81" w:rsidRDefault="004D1EE2" w:rsidP="004D1EE2">
      <w:pPr>
        <w:pStyle w:val="ListParagraph"/>
        <w:rPr>
          <w:b/>
          <w:lang w:eastAsia="en-GB"/>
        </w:rPr>
      </w:pPr>
      <w:r w:rsidRPr="002C2A81">
        <w:rPr>
          <w:lang w:eastAsia="en-GB"/>
        </w:rPr>
        <w:t>The 2019 conference will be held at the Hilton Brighton Metropole Hotel but we need to agree on a suitable location and venue for the 2020 conference so that it can be advertised at this year’s conference.</w:t>
      </w:r>
    </w:p>
    <w:p w14:paraId="4B957646" w14:textId="697E0765" w:rsidR="004D1EE2" w:rsidRDefault="004D1EE2" w:rsidP="004D1EE2">
      <w:pPr>
        <w:spacing w:after="0" w:line="240" w:lineRule="auto"/>
        <w:rPr>
          <w:rFonts w:eastAsia="Times New Roman" w:cs="Arial"/>
          <w:b/>
          <w:lang w:eastAsia="en-GB"/>
        </w:rPr>
      </w:pPr>
      <w:r>
        <w:rPr>
          <w:rStyle w:val="ReportTemplate"/>
        </w:rPr>
        <w:t xml:space="preserve"> </w:t>
      </w:r>
      <w:r w:rsidRPr="002C2A81">
        <w:rPr>
          <w:rFonts w:eastAsia="Times New Roman" w:cs="Arial"/>
          <w:b/>
          <w:lang w:eastAsia="en-GB"/>
        </w:rPr>
        <w:t>Two options for consideration</w:t>
      </w:r>
    </w:p>
    <w:p w14:paraId="22EEA2CE" w14:textId="77777777" w:rsidR="004D1EE2" w:rsidRPr="004D1EE2" w:rsidRDefault="004D1EE2" w:rsidP="004D1EE2">
      <w:pPr>
        <w:spacing w:after="0" w:line="240" w:lineRule="auto"/>
        <w:rPr>
          <w:rStyle w:val="ReportTemplate"/>
          <w:rFonts w:eastAsia="Times New Roman" w:cs="Arial"/>
          <w:b/>
          <w:lang w:eastAsia="en-GB"/>
        </w:rPr>
      </w:pPr>
    </w:p>
    <w:p w14:paraId="35B593B7" w14:textId="77777777" w:rsidR="004D1EE2" w:rsidRDefault="004D1EE2" w:rsidP="004D1EE2">
      <w:pPr>
        <w:pStyle w:val="ListParagraph"/>
        <w:rPr>
          <w:lang w:eastAsia="en-GB"/>
        </w:rPr>
      </w:pPr>
      <w:r w:rsidRPr="002C2A81">
        <w:rPr>
          <w:lang w:eastAsia="en-GB"/>
        </w:rPr>
        <w:lastRenderedPageBreak/>
        <w:t xml:space="preserve">We have received quotes from the Grand Hotel, Blackpool which was until recently the Hilton Hotel but is now under the management of the Britannia Group and the Hilton Hotel Manchester </w:t>
      </w:r>
      <w:proofErr w:type="spellStart"/>
      <w:r w:rsidRPr="002C2A81">
        <w:rPr>
          <w:lang w:eastAsia="en-GB"/>
        </w:rPr>
        <w:t>Deansgate</w:t>
      </w:r>
      <w:proofErr w:type="spellEnd"/>
      <w:r w:rsidRPr="002C2A81">
        <w:rPr>
          <w:lang w:eastAsia="en-GB"/>
        </w:rPr>
        <w:t xml:space="preserve">.  </w:t>
      </w:r>
      <w:r>
        <w:rPr>
          <w:lang w:eastAsia="en-GB"/>
        </w:rPr>
        <w:t xml:space="preserve"> </w:t>
      </w:r>
    </w:p>
    <w:p w14:paraId="594CF36D" w14:textId="77777777" w:rsidR="004D1EE2" w:rsidRDefault="004D1EE2" w:rsidP="004D1EE2">
      <w:pPr>
        <w:pStyle w:val="ListParagraph"/>
        <w:numPr>
          <w:ilvl w:val="0"/>
          <w:numId w:val="0"/>
        </w:numPr>
        <w:ind w:left="360"/>
        <w:rPr>
          <w:lang w:eastAsia="en-GB"/>
        </w:rPr>
      </w:pPr>
    </w:p>
    <w:p w14:paraId="53088ECF" w14:textId="11F0ADEC" w:rsidR="004D1EE2" w:rsidRPr="004D1EE2" w:rsidRDefault="004D1EE2" w:rsidP="004D1EE2">
      <w:pPr>
        <w:pStyle w:val="ListParagraph"/>
        <w:rPr>
          <w:rStyle w:val="ReportTemplate"/>
          <w:lang w:eastAsia="en-GB"/>
        </w:rPr>
      </w:pPr>
      <w:r w:rsidRPr="004D1EE2">
        <w:rPr>
          <w:rStyle w:val="ReportTemplate"/>
          <w:b/>
          <w:lang w:eastAsia="en-GB"/>
        </w:rPr>
        <w:t xml:space="preserve">Grand Hotel Blackpool </w:t>
      </w:r>
    </w:p>
    <w:p w14:paraId="316FDA1D" w14:textId="0A5B7292" w:rsidR="004D1EE2" w:rsidRDefault="004D1EE2" w:rsidP="004D1EE2">
      <w:pPr>
        <w:ind w:left="0" w:firstLine="0"/>
        <w:rPr>
          <w:rStyle w:val="ReportTemplate"/>
          <w:b/>
          <w:lang w:eastAsia="en-GB"/>
        </w:rPr>
      </w:pPr>
      <w:r w:rsidRPr="004D1EE2">
        <w:rPr>
          <w:rStyle w:val="ReportTemplate"/>
          <w:b/>
          <w:lang w:eastAsia="en-GB"/>
        </w:rPr>
        <w:t xml:space="preserve">Dates on hold 9 - 11 March 2020 (1st option) </w:t>
      </w:r>
    </w:p>
    <w:tbl>
      <w:tblPr>
        <w:tblStyle w:val="TableGrid"/>
        <w:tblW w:w="0" w:type="auto"/>
        <w:tblLook w:val="04A0" w:firstRow="1" w:lastRow="0" w:firstColumn="1" w:lastColumn="0" w:noHBand="0" w:noVBand="1"/>
      </w:tblPr>
      <w:tblGrid>
        <w:gridCol w:w="2254"/>
        <w:gridCol w:w="3978"/>
        <w:gridCol w:w="2552"/>
      </w:tblGrid>
      <w:tr w:rsidR="004D1EE2" w:rsidRPr="002C2A81" w14:paraId="109B4874" w14:textId="77777777" w:rsidTr="004D1EE2">
        <w:tc>
          <w:tcPr>
            <w:tcW w:w="2254" w:type="dxa"/>
          </w:tcPr>
          <w:p w14:paraId="739D7F5D" w14:textId="77777777" w:rsidR="004D1EE2" w:rsidRPr="002C2A81" w:rsidRDefault="004D1EE2" w:rsidP="004D1EE2">
            <w:pPr>
              <w:rPr>
                <w:rFonts w:cs="Arial"/>
              </w:rPr>
            </w:pPr>
            <w:r w:rsidRPr="002C2A81">
              <w:rPr>
                <w:rFonts w:cs="Arial"/>
              </w:rPr>
              <w:t xml:space="preserve">Room </w:t>
            </w:r>
          </w:p>
        </w:tc>
        <w:tc>
          <w:tcPr>
            <w:tcW w:w="3978" w:type="dxa"/>
          </w:tcPr>
          <w:p w14:paraId="7C2BF636" w14:textId="77777777" w:rsidR="004D1EE2" w:rsidRPr="002C2A81" w:rsidRDefault="004D1EE2" w:rsidP="004D1EE2">
            <w:pPr>
              <w:rPr>
                <w:rFonts w:cs="Arial"/>
              </w:rPr>
            </w:pPr>
            <w:r w:rsidRPr="002C2A81">
              <w:rPr>
                <w:rFonts w:cs="Arial"/>
              </w:rPr>
              <w:t xml:space="preserve">Purpose </w:t>
            </w:r>
          </w:p>
        </w:tc>
        <w:tc>
          <w:tcPr>
            <w:tcW w:w="2552" w:type="dxa"/>
          </w:tcPr>
          <w:p w14:paraId="3D917752" w14:textId="77777777" w:rsidR="004D1EE2" w:rsidRPr="002C2A81" w:rsidRDefault="004D1EE2" w:rsidP="004D1EE2">
            <w:pPr>
              <w:rPr>
                <w:rFonts w:cs="Arial"/>
              </w:rPr>
            </w:pPr>
            <w:r w:rsidRPr="002C2A81">
              <w:rPr>
                <w:rFonts w:cs="Arial"/>
              </w:rPr>
              <w:t>Capacity (theatre)</w:t>
            </w:r>
          </w:p>
        </w:tc>
      </w:tr>
      <w:tr w:rsidR="004D1EE2" w:rsidRPr="002C2A81" w14:paraId="44E651EB" w14:textId="77777777" w:rsidTr="004D1EE2">
        <w:tc>
          <w:tcPr>
            <w:tcW w:w="2254" w:type="dxa"/>
          </w:tcPr>
          <w:p w14:paraId="30373E71" w14:textId="77777777" w:rsidR="004D1EE2" w:rsidRPr="002C2A81" w:rsidRDefault="004D1EE2" w:rsidP="004D1EE2">
            <w:pPr>
              <w:rPr>
                <w:rFonts w:cs="Arial"/>
              </w:rPr>
            </w:pPr>
            <w:r w:rsidRPr="002C2A81">
              <w:rPr>
                <w:rFonts w:cs="Arial"/>
              </w:rPr>
              <w:t xml:space="preserve">Royal Suite </w:t>
            </w:r>
          </w:p>
        </w:tc>
        <w:tc>
          <w:tcPr>
            <w:tcW w:w="3978" w:type="dxa"/>
          </w:tcPr>
          <w:p w14:paraId="526346A6" w14:textId="77777777" w:rsidR="004D1EE2" w:rsidRPr="002C2A81" w:rsidRDefault="004D1EE2" w:rsidP="004D1EE2">
            <w:pPr>
              <w:rPr>
                <w:rFonts w:cs="Arial"/>
              </w:rPr>
            </w:pPr>
            <w:r w:rsidRPr="002C2A81">
              <w:rPr>
                <w:rFonts w:cs="Arial"/>
              </w:rPr>
              <w:t>Main Room and Dinner</w:t>
            </w:r>
          </w:p>
        </w:tc>
        <w:tc>
          <w:tcPr>
            <w:tcW w:w="2552" w:type="dxa"/>
          </w:tcPr>
          <w:p w14:paraId="459A20BA" w14:textId="77777777" w:rsidR="004D1EE2" w:rsidRPr="002C2A81" w:rsidRDefault="004D1EE2" w:rsidP="004D1EE2">
            <w:pPr>
              <w:rPr>
                <w:rFonts w:cs="Arial"/>
              </w:rPr>
            </w:pPr>
            <w:r w:rsidRPr="002C2A81">
              <w:rPr>
                <w:rFonts w:cs="Arial"/>
              </w:rPr>
              <w:t>600</w:t>
            </w:r>
          </w:p>
        </w:tc>
      </w:tr>
      <w:tr w:rsidR="004D1EE2" w:rsidRPr="002C2A81" w14:paraId="31286B86" w14:textId="77777777" w:rsidTr="004D1EE2">
        <w:tc>
          <w:tcPr>
            <w:tcW w:w="2254" w:type="dxa"/>
          </w:tcPr>
          <w:p w14:paraId="52E16FC0" w14:textId="77777777" w:rsidR="004D1EE2" w:rsidRPr="002C2A81" w:rsidRDefault="004D1EE2" w:rsidP="004D1EE2">
            <w:pPr>
              <w:rPr>
                <w:rFonts w:cs="Arial"/>
              </w:rPr>
            </w:pPr>
            <w:r w:rsidRPr="002C2A81">
              <w:rPr>
                <w:rFonts w:cs="Arial"/>
              </w:rPr>
              <w:t>Queen Suite</w:t>
            </w:r>
          </w:p>
        </w:tc>
        <w:tc>
          <w:tcPr>
            <w:tcW w:w="3978" w:type="dxa"/>
          </w:tcPr>
          <w:p w14:paraId="2D88E840" w14:textId="77777777" w:rsidR="004D1EE2" w:rsidRPr="002C2A81" w:rsidRDefault="004D1EE2" w:rsidP="004D1EE2">
            <w:pPr>
              <w:rPr>
                <w:rFonts w:cs="Arial"/>
              </w:rPr>
            </w:pPr>
            <w:r w:rsidRPr="002C2A81">
              <w:rPr>
                <w:rFonts w:cs="Arial"/>
              </w:rPr>
              <w:t>Refreshments /lunch and exhibition area</w:t>
            </w:r>
          </w:p>
        </w:tc>
        <w:tc>
          <w:tcPr>
            <w:tcW w:w="2552" w:type="dxa"/>
          </w:tcPr>
          <w:p w14:paraId="7842AE5F" w14:textId="77777777" w:rsidR="004D1EE2" w:rsidRPr="002C2A81" w:rsidRDefault="004D1EE2" w:rsidP="004D1EE2">
            <w:pPr>
              <w:rPr>
                <w:rFonts w:cs="Arial"/>
              </w:rPr>
            </w:pPr>
            <w:r w:rsidRPr="002C2A81">
              <w:rPr>
                <w:rFonts w:cs="Arial"/>
              </w:rPr>
              <w:t>300</w:t>
            </w:r>
          </w:p>
        </w:tc>
      </w:tr>
      <w:tr w:rsidR="004D1EE2" w:rsidRPr="002C2A81" w14:paraId="69E2E39E" w14:textId="77777777" w:rsidTr="004D1EE2">
        <w:tc>
          <w:tcPr>
            <w:tcW w:w="2254" w:type="dxa"/>
          </w:tcPr>
          <w:p w14:paraId="76B1B4A4" w14:textId="77777777" w:rsidR="004D1EE2" w:rsidRPr="002C2A81" w:rsidRDefault="004D1EE2" w:rsidP="004D1EE2">
            <w:pPr>
              <w:rPr>
                <w:rFonts w:cs="Arial"/>
              </w:rPr>
            </w:pPr>
            <w:r w:rsidRPr="002C2A81">
              <w:rPr>
                <w:rFonts w:cs="Arial"/>
              </w:rPr>
              <w:t>Neville</w:t>
            </w:r>
          </w:p>
        </w:tc>
        <w:tc>
          <w:tcPr>
            <w:tcW w:w="3978" w:type="dxa"/>
          </w:tcPr>
          <w:p w14:paraId="1A6BE3ED" w14:textId="77777777" w:rsidR="004D1EE2" w:rsidRPr="002C2A81" w:rsidRDefault="004D1EE2" w:rsidP="004D1EE2">
            <w:pPr>
              <w:rPr>
                <w:rFonts w:cs="Arial"/>
              </w:rPr>
            </w:pPr>
            <w:r w:rsidRPr="002C2A81">
              <w:rPr>
                <w:rFonts w:cs="Arial"/>
              </w:rPr>
              <w:t>Breakout</w:t>
            </w:r>
          </w:p>
        </w:tc>
        <w:tc>
          <w:tcPr>
            <w:tcW w:w="2552" w:type="dxa"/>
          </w:tcPr>
          <w:p w14:paraId="3813C7C0" w14:textId="77777777" w:rsidR="004D1EE2" w:rsidRPr="002C2A81" w:rsidRDefault="004D1EE2" w:rsidP="004D1EE2">
            <w:pPr>
              <w:rPr>
                <w:rFonts w:cs="Arial"/>
              </w:rPr>
            </w:pPr>
            <w:r w:rsidRPr="002C2A81">
              <w:rPr>
                <w:rFonts w:cs="Arial"/>
              </w:rPr>
              <w:t>80</w:t>
            </w:r>
          </w:p>
        </w:tc>
      </w:tr>
      <w:tr w:rsidR="004D1EE2" w:rsidRPr="002C2A81" w14:paraId="3CEA57A9" w14:textId="77777777" w:rsidTr="004D1EE2">
        <w:tc>
          <w:tcPr>
            <w:tcW w:w="2254" w:type="dxa"/>
          </w:tcPr>
          <w:p w14:paraId="4043208E" w14:textId="77777777" w:rsidR="004D1EE2" w:rsidRPr="002C2A81" w:rsidRDefault="004D1EE2" w:rsidP="004D1EE2">
            <w:pPr>
              <w:rPr>
                <w:rFonts w:cs="Arial"/>
              </w:rPr>
            </w:pPr>
            <w:r w:rsidRPr="002C2A81">
              <w:rPr>
                <w:rFonts w:cs="Arial"/>
              </w:rPr>
              <w:t>Mortimer</w:t>
            </w:r>
          </w:p>
        </w:tc>
        <w:tc>
          <w:tcPr>
            <w:tcW w:w="3978" w:type="dxa"/>
          </w:tcPr>
          <w:p w14:paraId="6A44C099" w14:textId="77777777" w:rsidR="004D1EE2" w:rsidRPr="002C2A81" w:rsidRDefault="004D1EE2" w:rsidP="004D1EE2">
            <w:pPr>
              <w:rPr>
                <w:rFonts w:cs="Arial"/>
              </w:rPr>
            </w:pPr>
            <w:r w:rsidRPr="002C2A81">
              <w:rPr>
                <w:rFonts w:cs="Arial"/>
              </w:rPr>
              <w:t>Breakout</w:t>
            </w:r>
          </w:p>
        </w:tc>
        <w:tc>
          <w:tcPr>
            <w:tcW w:w="2552" w:type="dxa"/>
          </w:tcPr>
          <w:p w14:paraId="6A9DA5B1" w14:textId="77777777" w:rsidR="004D1EE2" w:rsidRPr="002C2A81" w:rsidRDefault="004D1EE2" w:rsidP="004D1EE2">
            <w:pPr>
              <w:rPr>
                <w:rFonts w:cs="Arial"/>
              </w:rPr>
            </w:pPr>
            <w:r w:rsidRPr="002C2A81">
              <w:rPr>
                <w:rFonts w:cs="Arial"/>
              </w:rPr>
              <w:t>80</w:t>
            </w:r>
          </w:p>
        </w:tc>
      </w:tr>
      <w:tr w:rsidR="004D1EE2" w:rsidRPr="002C2A81" w14:paraId="796F3A30" w14:textId="77777777" w:rsidTr="004D1EE2">
        <w:tc>
          <w:tcPr>
            <w:tcW w:w="2254" w:type="dxa"/>
          </w:tcPr>
          <w:p w14:paraId="0531B881" w14:textId="77777777" w:rsidR="004D1EE2" w:rsidRPr="002C2A81" w:rsidRDefault="004D1EE2" w:rsidP="004D1EE2">
            <w:pPr>
              <w:rPr>
                <w:rFonts w:cs="Arial"/>
              </w:rPr>
            </w:pPr>
            <w:r w:rsidRPr="002C2A81">
              <w:rPr>
                <w:rFonts w:cs="Arial"/>
              </w:rPr>
              <w:t>Beaufort</w:t>
            </w:r>
          </w:p>
        </w:tc>
        <w:tc>
          <w:tcPr>
            <w:tcW w:w="3978" w:type="dxa"/>
          </w:tcPr>
          <w:p w14:paraId="5F7FD2A0" w14:textId="77777777" w:rsidR="004D1EE2" w:rsidRPr="002C2A81" w:rsidRDefault="004D1EE2" w:rsidP="004D1EE2">
            <w:pPr>
              <w:rPr>
                <w:rFonts w:cs="Arial"/>
              </w:rPr>
            </w:pPr>
            <w:r w:rsidRPr="002C2A81">
              <w:rPr>
                <w:rFonts w:cs="Arial"/>
              </w:rPr>
              <w:t>Breakout</w:t>
            </w:r>
          </w:p>
        </w:tc>
        <w:tc>
          <w:tcPr>
            <w:tcW w:w="2552" w:type="dxa"/>
          </w:tcPr>
          <w:p w14:paraId="45C032F2" w14:textId="77777777" w:rsidR="004D1EE2" w:rsidRPr="002C2A81" w:rsidRDefault="004D1EE2" w:rsidP="004D1EE2">
            <w:pPr>
              <w:rPr>
                <w:rFonts w:cs="Arial"/>
              </w:rPr>
            </w:pPr>
            <w:r w:rsidRPr="002C2A81">
              <w:rPr>
                <w:rFonts w:cs="Arial"/>
              </w:rPr>
              <w:t>80</w:t>
            </w:r>
          </w:p>
        </w:tc>
      </w:tr>
      <w:tr w:rsidR="004D1EE2" w:rsidRPr="002C2A81" w14:paraId="393AAE5E" w14:textId="77777777" w:rsidTr="004D1EE2">
        <w:tc>
          <w:tcPr>
            <w:tcW w:w="2254" w:type="dxa"/>
          </w:tcPr>
          <w:p w14:paraId="3B184032" w14:textId="77777777" w:rsidR="004D1EE2" w:rsidRPr="002C2A81" w:rsidRDefault="004D1EE2" w:rsidP="004D1EE2">
            <w:pPr>
              <w:rPr>
                <w:rFonts w:cs="Arial"/>
              </w:rPr>
            </w:pPr>
            <w:r w:rsidRPr="002C2A81">
              <w:rPr>
                <w:rFonts w:cs="Arial"/>
              </w:rPr>
              <w:t>Trafalgar</w:t>
            </w:r>
          </w:p>
        </w:tc>
        <w:tc>
          <w:tcPr>
            <w:tcW w:w="3978" w:type="dxa"/>
          </w:tcPr>
          <w:p w14:paraId="2C638247" w14:textId="77777777" w:rsidR="004D1EE2" w:rsidRPr="002C2A81" w:rsidRDefault="004D1EE2" w:rsidP="004D1EE2">
            <w:pPr>
              <w:rPr>
                <w:rFonts w:cs="Arial"/>
              </w:rPr>
            </w:pPr>
            <w:r w:rsidRPr="002C2A81">
              <w:rPr>
                <w:rFonts w:cs="Arial"/>
              </w:rPr>
              <w:t>Breakout</w:t>
            </w:r>
          </w:p>
        </w:tc>
        <w:tc>
          <w:tcPr>
            <w:tcW w:w="2552" w:type="dxa"/>
          </w:tcPr>
          <w:p w14:paraId="0089958B" w14:textId="77777777" w:rsidR="004D1EE2" w:rsidRPr="002C2A81" w:rsidRDefault="004D1EE2" w:rsidP="004D1EE2">
            <w:pPr>
              <w:rPr>
                <w:rFonts w:cs="Arial"/>
              </w:rPr>
            </w:pPr>
            <w:r w:rsidRPr="002C2A81">
              <w:rPr>
                <w:rFonts w:cs="Arial"/>
              </w:rPr>
              <w:t>120</w:t>
            </w:r>
          </w:p>
        </w:tc>
      </w:tr>
    </w:tbl>
    <w:p w14:paraId="1B4020D2" w14:textId="77777777" w:rsidR="004D1EE2" w:rsidRDefault="004D1EE2" w:rsidP="004D1EE2">
      <w:pPr>
        <w:rPr>
          <w:rFonts w:cs="Arial"/>
        </w:rPr>
      </w:pPr>
    </w:p>
    <w:p w14:paraId="0637E0F9" w14:textId="352B9B24" w:rsidR="004D1EE2" w:rsidRPr="002C2A81" w:rsidRDefault="004D1EE2" w:rsidP="004D1EE2">
      <w:pPr>
        <w:ind w:left="0" w:firstLine="0"/>
        <w:rPr>
          <w:rFonts w:cs="Arial"/>
        </w:rPr>
      </w:pPr>
      <w:r w:rsidRPr="002C2A81">
        <w:rPr>
          <w:rFonts w:cs="Arial"/>
        </w:rPr>
        <w:t>The Hotel is situated in a prime location on the seafront overlooking the Irish S</w:t>
      </w:r>
      <w:r>
        <w:rPr>
          <w:rFonts w:cs="Arial"/>
        </w:rPr>
        <w:t xml:space="preserve">ea. The hotel </w:t>
      </w:r>
      <w:r w:rsidRPr="002C2A81">
        <w:rPr>
          <w:rFonts w:cs="Arial"/>
        </w:rPr>
        <w:t>has 274 bedrooms (the majority of which are sea view) and a number that offer wheelchair access.</w:t>
      </w:r>
    </w:p>
    <w:p w14:paraId="28BE6B47" w14:textId="77777777" w:rsidR="004D1EE2" w:rsidRPr="002C2A81" w:rsidRDefault="004D1EE2" w:rsidP="004D1EE2">
      <w:pPr>
        <w:ind w:left="0" w:firstLine="0"/>
        <w:rPr>
          <w:rFonts w:cs="Arial"/>
        </w:rPr>
      </w:pPr>
      <w:r w:rsidRPr="002C2A81">
        <w:rPr>
          <w:rFonts w:cs="Arial"/>
          <w:lang w:val="en"/>
        </w:rPr>
        <w:t xml:space="preserve">Near </w:t>
      </w:r>
      <w:proofErr w:type="spellStart"/>
      <w:r w:rsidRPr="002C2A81">
        <w:rPr>
          <w:rFonts w:cs="Arial"/>
          <w:lang w:val="en"/>
        </w:rPr>
        <w:t>Blackpool</w:t>
      </w:r>
      <w:proofErr w:type="spellEnd"/>
      <w:r w:rsidRPr="002C2A81">
        <w:rPr>
          <w:rFonts w:cs="Arial"/>
          <w:lang w:val="en"/>
        </w:rPr>
        <w:t xml:space="preserve"> Tower, this centrally located hotel provides easy access to excellent transport links. The Grand Hotel </w:t>
      </w:r>
      <w:proofErr w:type="spellStart"/>
      <w:r w:rsidRPr="002C2A81">
        <w:rPr>
          <w:rFonts w:cs="Arial"/>
          <w:lang w:val="en"/>
        </w:rPr>
        <w:t>Blackpool</w:t>
      </w:r>
      <w:proofErr w:type="spellEnd"/>
      <w:r w:rsidRPr="002C2A81">
        <w:rPr>
          <w:rFonts w:cs="Arial"/>
          <w:lang w:val="en"/>
        </w:rPr>
        <w:t xml:space="preserve"> is 4 miles from </w:t>
      </w:r>
      <w:proofErr w:type="spellStart"/>
      <w:r w:rsidRPr="002C2A81">
        <w:rPr>
          <w:rFonts w:cs="Arial"/>
          <w:lang w:val="en"/>
        </w:rPr>
        <w:t>Blackpool</w:t>
      </w:r>
      <w:proofErr w:type="spellEnd"/>
      <w:r w:rsidRPr="002C2A81">
        <w:rPr>
          <w:rFonts w:cs="Arial"/>
          <w:lang w:val="en"/>
        </w:rPr>
        <w:t xml:space="preserve"> International Airport and a five-minute drive to </w:t>
      </w:r>
      <w:proofErr w:type="spellStart"/>
      <w:r w:rsidRPr="002C2A81">
        <w:rPr>
          <w:rFonts w:cs="Arial"/>
          <w:lang w:val="en"/>
        </w:rPr>
        <w:t>Blackpool</w:t>
      </w:r>
      <w:proofErr w:type="spellEnd"/>
      <w:r w:rsidRPr="002C2A81">
        <w:rPr>
          <w:rFonts w:cs="Arial"/>
          <w:lang w:val="en"/>
        </w:rPr>
        <w:t xml:space="preserve"> North railway station.</w:t>
      </w:r>
    </w:p>
    <w:p w14:paraId="7146F692" w14:textId="53D48798" w:rsidR="004D1EE2" w:rsidRPr="004D1EE2" w:rsidRDefault="004D1EE2" w:rsidP="004D1EE2">
      <w:pPr>
        <w:rPr>
          <w:rStyle w:val="ReportTemplate"/>
          <w:rFonts w:cs="Arial"/>
        </w:rPr>
      </w:pPr>
      <w:r w:rsidRPr="002C2A81">
        <w:rPr>
          <w:rFonts w:cs="Arial"/>
        </w:rPr>
        <w:t>There is car parking facilities for 300 cars.</w:t>
      </w:r>
    </w:p>
    <w:p w14:paraId="147661DE" w14:textId="77777777" w:rsidR="004D1EE2" w:rsidRPr="004D1EE2" w:rsidRDefault="004D1EE2" w:rsidP="004D1EE2">
      <w:pPr>
        <w:pStyle w:val="ListParagraph"/>
        <w:rPr>
          <w:rStyle w:val="ReportTemplate"/>
          <w:lang w:eastAsia="en-GB"/>
        </w:rPr>
      </w:pPr>
      <w:r w:rsidRPr="004D1EE2">
        <w:rPr>
          <w:rStyle w:val="ReportTemplate"/>
          <w:b/>
          <w:lang w:eastAsia="en-GB"/>
        </w:rPr>
        <w:t xml:space="preserve">Hilton Manchester </w:t>
      </w:r>
      <w:proofErr w:type="spellStart"/>
      <w:r w:rsidRPr="004D1EE2">
        <w:rPr>
          <w:rStyle w:val="ReportTemplate"/>
          <w:b/>
          <w:lang w:eastAsia="en-GB"/>
        </w:rPr>
        <w:t>Deansgate</w:t>
      </w:r>
      <w:proofErr w:type="spellEnd"/>
      <w:r w:rsidRPr="004D1EE2">
        <w:rPr>
          <w:rStyle w:val="ReportTemplate"/>
          <w:lang w:eastAsia="en-GB"/>
        </w:rPr>
        <w:t xml:space="preserve"> </w:t>
      </w:r>
    </w:p>
    <w:p w14:paraId="281904AB" w14:textId="1C9535A7" w:rsidR="004D1EE2" w:rsidRDefault="004D1EE2" w:rsidP="004D1EE2">
      <w:pPr>
        <w:ind w:left="0" w:firstLine="0"/>
        <w:rPr>
          <w:rStyle w:val="ReportTemplate"/>
          <w:lang w:eastAsia="en-GB"/>
        </w:rPr>
      </w:pPr>
      <w:r w:rsidRPr="004D1EE2">
        <w:rPr>
          <w:rStyle w:val="ReportTemplate"/>
          <w:lang w:eastAsia="en-GB"/>
        </w:rPr>
        <w:t>Dates  9 – 11 March 2020 (2nd option)</w:t>
      </w:r>
    </w:p>
    <w:tbl>
      <w:tblPr>
        <w:tblStyle w:val="TableGrid"/>
        <w:tblW w:w="0" w:type="auto"/>
        <w:tblLayout w:type="fixed"/>
        <w:tblLook w:val="04A0" w:firstRow="1" w:lastRow="0" w:firstColumn="1" w:lastColumn="0" w:noHBand="0" w:noVBand="1"/>
      </w:tblPr>
      <w:tblGrid>
        <w:gridCol w:w="2263"/>
        <w:gridCol w:w="3748"/>
        <w:gridCol w:w="3005"/>
      </w:tblGrid>
      <w:tr w:rsidR="004D1EE2" w:rsidRPr="002C2A81" w14:paraId="3CD1BB55" w14:textId="77777777" w:rsidTr="004D1EE2">
        <w:tc>
          <w:tcPr>
            <w:tcW w:w="2263" w:type="dxa"/>
          </w:tcPr>
          <w:p w14:paraId="3CC2136E" w14:textId="77777777" w:rsidR="004D1EE2" w:rsidRPr="002C2A81" w:rsidRDefault="004D1EE2" w:rsidP="004D1EE2">
            <w:pPr>
              <w:rPr>
                <w:rFonts w:cs="Arial"/>
              </w:rPr>
            </w:pPr>
            <w:r w:rsidRPr="002C2A81">
              <w:rPr>
                <w:rFonts w:cs="Arial"/>
              </w:rPr>
              <w:t xml:space="preserve">Room </w:t>
            </w:r>
          </w:p>
        </w:tc>
        <w:tc>
          <w:tcPr>
            <w:tcW w:w="3748" w:type="dxa"/>
          </w:tcPr>
          <w:p w14:paraId="7C70409E" w14:textId="77777777" w:rsidR="004D1EE2" w:rsidRPr="002C2A81" w:rsidRDefault="004D1EE2" w:rsidP="004D1EE2">
            <w:pPr>
              <w:rPr>
                <w:rFonts w:cs="Arial"/>
              </w:rPr>
            </w:pPr>
            <w:r w:rsidRPr="002C2A81">
              <w:rPr>
                <w:rFonts w:cs="Arial"/>
              </w:rPr>
              <w:t xml:space="preserve">Purpose </w:t>
            </w:r>
          </w:p>
        </w:tc>
        <w:tc>
          <w:tcPr>
            <w:tcW w:w="3005" w:type="dxa"/>
          </w:tcPr>
          <w:p w14:paraId="796BEF8C" w14:textId="77777777" w:rsidR="004D1EE2" w:rsidRPr="002C2A81" w:rsidRDefault="004D1EE2" w:rsidP="004D1EE2">
            <w:pPr>
              <w:rPr>
                <w:rFonts w:cs="Arial"/>
              </w:rPr>
            </w:pPr>
            <w:r w:rsidRPr="002C2A81">
              <w:rPr>
                <w:rFonts w:cs="Arial"/>
              </w:rPr>
              <w:t xml:space="preserve">Capacity </w:t>
            </w:r>
          </w:p>
        </w:tc>
      </w:tr>
      <w:tr w:rsidR="004D1EE2" w:rsidRPr="002C2A81" w14:paraId="05BFF7B8" w14:textId="77777777" w:rsidTr="004D1EE2">
        <w:tc>
          <w:tcPr>
            <w:tcW w:w="2263" w:type="dxa"/>
          </w:tcPr>
          <w:p w14:paraId="550C6DE4" w14:textId="77777777" w:rsidR="004D1EE2" w:rsidRPr="002C2A81" w:rsidRDefault="004D1EE2" w:rsidP="004D1EE2">
            <w:pPr>
              <w:rPr>
                <w:rFonts w:cs="Arial"/>
              </w:rPr>
            </w:pPr>
            <w:proofErr w:type="spellStart"/>
            <w:r w:rsidRPr="002C2A81">
              <w:rPr>
                <w:rFonts w:cs="Arial"/>
              </w:rPr>
              <w:t>Deansgate</w:t>
            </w:r>
            <w:proofErr w:type="spellEnd"/>
            <w:r w:rsidRPr="002C2A81">
              <w:rPr>
                <w:rFonts w:cs="Arial"/>
              </w:rPr>
              <w:t xml:space="preserve"> Suite</w:t>
            </w:r>
          </w:p>
        </w:tc>
        <w:tc>
          <w:tcPr>
            <w:tcW w:w="3748" w:type="dxa"/>
          </w:tcPr>
          <w:p w14:paraId="58E09EA4" w14:textId="77777777" w:rsidR="004D1EE2" w:rsidRPr="002C2A81" w:rsidRDefault="004D1EE2" w:rsidP="004D1EE2">
            <w:pPr>
              <w:rPr>
                <w:rFonts w:cs="Arial"/>
              </w:rPr>
            </w:pPr>
            <w:r w:rsidRPr="002C2A81">
              <w:rPr>
                <w:rFonts w:cs="Arial"/>
              </w:rPr>
              <w:t>Main Room and Dinner</w:t>
            </w:r>
          </w:p>
        </w:tc>
        <w:tc>
          <w:tcPr>
            <w:tcW w:w="3005" w:type="dxa"/>
          </w:tcPr>
          <w:p w14:paraId="3C32D91D" w14:textId="77777777" w:rsidR="004D1EE2" w:rsidRPr="002C2A81" w:rsidRDefault="004D1EE2" w:rsidP="004D1EE2">
            <w:pPr>
              <w:rPr>
                <w:rFonts w:cs="Arial"/>
              </w:rPr>
            </w:pPr>
            <w:r w:rsidRPr="002C2A81">
              <w:rPr>
                <w:rFonts w:cs="Arial"/>
              </w:rPr>
              <w:t>600 (theatre)</w:t>
            </w:r>
          </w:p>
        </w:tc>
      </w:tr>
      <w:tr w:rsidR="004D1EE2" w:rsidRPr="002C2A81" w14:paraId="7D53894D" w14:textId="77777777" w:rsidTr="004D1EE2">
        <w:tc>
          <w:tcPr>
            <w:tcW w:w="2263" w:type="dxa"/>
          </w:tcPr>
          <w:p w14:paraId="308EFA94" w14:textId="77777777" w:rsidR="004D1EE2" w:rsidRPr="002C2A81" w:rsidRDefault="004D1EE2" w:rsidP="004D1EE2">
            <w:pPr>
              <w:rPr>
                <w:rFonts w:cs="Arial"/>
              </w:rPr>
            </w:pPr>
            <w:proofErr w:type="spellStart"/>
            <w:r w:rsidRPr="002C2A81">
              <w:rPr>
                <w:rFonts w:cs="Arial"/>
              </w:rPr>
              <w:t>Deansgate</w:t>
            </w:r>
            <w:proofErr w:type="spellEnd"/>
            <w:r w:rsidRPr="002C2A81">
              <w:rPr>
                <w:rFonts w:cs="Arial"/>
              </w:rPr>
              <w:t xml:space="preserve"> Foyer</w:t>
            </w:r>
          </w:p>
        </w:tc>
        <w:tc>
          <w:tcPr>
            <w:tcW w:w="3748" w:type="dxa"/>
          </w:tcPr>
          <w:p w14:paraId="782FC419" w14:textId="77777777" w:rsidR="004D1EE2" w:rsidRPr="002C2A81" w:rsidRDefault="004D1EE2" w:rsidP="004D1EE2">
            <w:pPr>
              <w:rPr>
                <w:rFonts w:cs="Arial"/>
              </w:rPr>
            </w:pPr>
            <w:r w:rsidRPr="002C2A81">
              <w:rPr>
                <w:rFonts w:cs="Arial"/>
              </w:rPr>
              <w:t>Refreshments and exhibition area</w:t>
            </w:r>
          </w:p>
        </w:tc>
        <w:tc>
          <w:tcPr>
            <w:tcW w:w="3005" w:type="dxa"/>
          </w:tcPr>
          <w:p w14:paraId="5B82E618" w14:textId="77777777" w:rsidR="004D1EE2" w:rsidRPr="002C2A81" w:rsidRDefault="004D1EE2" w:rsidP="004D1EE2">
            <w:pPr>
              <w:rPr>
                <w:rFonts w:cs="Arial"/>
              </w:rPr>
            </w:pPr>
            <w:r w:rsidRPr="002C2A81">
              <w:rPr>
                <w:rFonts w:cs="Arial"/>
              </w:rPr>
              <w:t>20 exhibition spaces</w:t>
            </w:r>
          </w:p>
          <w:p w14:paraId="47C22007" w14:textId="77777777" w:rsidR="004D1EE2" w:rsidRPr="002C2A81" w:rsidRDefault="004D1EE2" w:rsidP="004D1EE2">
            <w:pPr>
              <w:rPr>
                <w:rFonts w:cs="Arial"/>
              </w:rPr>
            </w:pPr>
            <w:r w:rsidRPr="002C2A81">
              <w:rPr>
                <w:rFonts w:cs="Arial"/>
              </w:rPr>
              <w:t>(capacity for 550 standing)</w:t>
            </w:r>
          </w:p>
        </w:tc>
      </w:tr>
      <w:tr w:rsidR="004D1EE2" w:rsidRPr="002C2A81" w14:paraId="2A9DABFD" w14:textId="77777777" w:rsidTr="004D1EE2">
        <w:tc>
          <w:tcPr>
            <w:tcW w:w="2263" w:type="dxa"/>
          </w:tcPr>
          <w:p w14:paraId="08C74A3C" w14:textId="77777777" w:rsidR="004D1EE2" w:rsidRPr="002C2A81" w:rsidRDefault="004D1EE2" w:rsidP="004D1EE2">
            <w:pPr>
              <w:rPr>
                <w:rFonts w:cs="Arial"/>
              </w:rPr>
            </w:pPr>
            <w:proofErr w:type="spellStart"/>
            <w:r w:rsidRPr="002C2A81">
              <w:rPr>
                <w:rFonts w:cs="Arial"/>
              </w:rPr>
              <w:t>Denasgate</w:t>
            </w:r>
            <w:proofErr w:type="spellEnd"/>
            <w:r w:rsidRPr="002C2A81">
              <w:rPr>
                <w:rFonts w:cs="Arial"/>
              </w:rPr>
              <w:t xml:space="preserve"> Foyer</w:t>
            </w:r>
          </w:p>
        </w:tc>
        <w:tc>
          <w:tcPr>
            <w:tcW w:w="3748" w:type="dxa"/>
          </w:tcPr>
          <w:p w14:paraId="60778BA1" w14:textId="77777777" w:rsidR="004D1EE2" w:rsidRPr="002C2A81" w:rsidRDefault="004D1EE2" w:rsidP="004D1EE2">
            <w:pPr>
              <w:rPr>
                <w:rFonts w:cs="Arial"/>
              </w:rPr>
            </w:pPr>
            <w:r w:rsidRPr="002C2A81">
              <w:rPr>
                <w:rFonts w:cs="Arial"/>
              </w:rPr>
              <w:t xml:space="preserve">Lunch </w:t>
            </w:r>
          </w:p>
        </w:tc>
        <w:tc>
          <w:tcPr>
            <w:tcW w:w="3005" w:type="dxa"/>
          </w:tcPr>
          <w:p w14:paraId="6534834A" w14:textId="77777777" w:rsidR="004D1EE2" w:rsidRPr="002C2A81" w:rsidRDefault="004D1EE2" w:rsidP="004D1EE2">
            <w:pPr>
              <w:rPr>
                <w:rFonts w:cs="Arial"/>
              </w:rPr>
            </w:pPr>
            <w:r w:rsidRPr="002C2A81">
              <w:rPr>
                <w:rFonts w:cs="Arial"/>
              </w:rPr>
              <w:t>300</w:t>
            </w:r>
          </w:p>
        </w:tc>
      </w:tr>
      <w:tr w:rsidR="004D1EE2" w:rsidRPr="002C2A81" w14:paraId="00459A47" w14:textId="77777777" w:rsidTr="004D1EE2">
        <w:tc>
          <w:tcPr>
            <w:tcW w:w="2263" w:type="dxa"/>
          </w:tcPr>
          <w:p w14:paraId="7DDBD748" w14:textId="77777777" w:rsidR="004D1EE2" w:rsidRPr="002C2A81" w:rsidRDefault="004D1EE2" w:rsidP="004D1EE2">
            <w:pPr>
              <w:rPr>
                <w:rFonts w:cs="Arial"/>
              </w:rPr>
            </w:pPr>
            <w:proofErr w:type="spellStart"/>
            <w:r w:rsidRPr="002C2A81">
              <w:rPr>
                <w:rFonts w:cs="Arial"/>
              </w:rPr>
              <w:t>Mtg</w:t>
            </w:r>
            <w:proofErr w:type="spellEnd"/>
            <w:r w:rsidRPr="002C2A81">
              <w:rPr>
                <w:rFonts w:cs="Arial"/>
              </w:rPr>
              <w:t xml:space="preserve"> Rm  2,3&amp; 4</w:t>
            </w:r>
          </w:p>
        </w:tc>
        <w:tc>
          <w:tcPr>
            <w:tcW w:w="3748" w:type="dxa"/>
          </w:tcPr>
          <w:p w14:paraId="75DEE535" w14:textId="77777777" w:rsidR="004D1EE2" w:rsidRPr="002C2A81" w:rsidRDefault="004D1EE2" w:rsidP="004D1EE2">
            <w:pPr>
              <w:rPr>
                <w:rFonts w:cs="Arial"/>
              </w:rPr>
            </w:pPr>
            <w:r w:rsidRPr="002C2A81">
              <w:rPr>
                <w:rFonts w:cs="Arial"/>
              </w:rPr>
              <w:t>Breakout</w:t>
            </w:r>
          </w:p>
        </w:tc>
        <w:tc>
          <w:tcPr>
            <w:tcW w:w="3005" w:type="dxa"/>
          </w:tcPr>
          <w:p w14:paraId="030C0C6E" w14:textId="77777777" w:rsidR="004D1EE2" w:rsidRPr="002C2A81" w:rsidRDefault="004D1EE2" w:rsidP="004D1EE2">
            <w:pPr>
              <w:rPr>
                <w:rFonts w:cs="Arial"/>
              </w:rPr>
            </w:pPr>
            <w:r w:rsidRPr="002C2A81">
              <w:rPr>
                <w:rFonts w:cs="Arial"/>
              </w:rPr>
              <w:t>100</w:t>
            </w:r>
          </w:p>
        </w:tc>
      </w:tr>
      <w:tr w:rsidR="004D1EE2" w:rsidRPr="002C2A81" w14:paraId="50DD9EEB" w14:textId="77777777" w:rsidTr="004D1EE2">
        <w:tc>
          <w:tcPr>
            <w:tcW w:w="2263" w:type="dxa"/>
          </w:tcPr>
          <w:p w14:paraId="093C3FC2" w14:textId="77777777" w:rsidR="004D1EE2" w:rsidRPr="002C2A81" w:rsidRDefault="004D1EE2" w:rsidP="004D1EE2">
            <w:pPr>
              <w:rPr>
                <w:rFonts w:cs="Arial"/>
              </w:rPr>
            </w:pPr>
            <w:proofErr w:type="spellStart"/>
            <w:r w:rsidRPr="002C2A81">
              <w:rPr>
                <w:rFonts w:cs="Arial"/>
              </w:rPr>
              <w:t>Mtg</w:t>
            </w:r>
            <w:proofErr w:type="spellEnd"/>
            <w:r w:rsidRPr="002C2A81">
              <w:rPr>
                <w:rFonts w:cs="Arial"/>
              </w:rPr>
              <w:t xml:space="preserve"> Rm 8&amp;9</w:t>
            </w:r>
          </w:p>
        </w:tc>
        <w:tc>
          <w:tcPr>
            <w:tcW w:w="3748" w:type="dxa"/>
          </w:tcPr>
          <w:p w14:paraId="6766B528" w14:textId="77777777" w:rsidR="004D1EE2" w:rsidRPr="002C2A81" w:rsidRDefault="004D1EE2" w:rsidP="004D1EE2">
            <w:pPr>
              <w:rPr>
                <w:rFonts w:cs="Arial"/>
              </w:rPr>
            </w:pPr>
            <w:r w:rsidRPr="002C2A81">
              <w:rPr>
                <w:rFonts w:cs="Arial"/>
              </w:rPr>
              <w:t>Breakout</w:t>
            </w:r>
          </w:p>
        </w:tc>
        <w:tc>
          <w:tcPr>
            <w:tcW w:w="3005" w:type="dxa"/>
          </w:tcPr>
          <w:p w14:paraId="6A40BE9E" w14:textId="77777777" w:rsidR="004D1EE2" w:rsidRPr="002C2A81" w:rsidRDefault="004D1EE2" w:rsidP="004D1EE2">
            <w:pPr>
              <w:rPr>
                <w:rFonts w:cs="Arial"/>
              </w:rPr>
            </w:pPr>
            <w:r w:rsidRPr="002C2A81">
              <w:rPr>
                <w:rFonts w:cs="Arial"/>
              </w:rPr>
              <w:t>100</w:t>
            </w:r>
          </w:p>
        </w:tc>
      </w:tr>
      <w:tr w:rsidR="004D1EE2" w:rsidRPr="002C2A81" w14:paraId="636EB394" w14:textId="77777777" w:rsidTr="004D1EE2">
        <w:tc>
          <w:tcPr>
            <w:tcW w:w="2263" w:type="dxa"/>
          </w:tcPr>
          <w:p w14:paraId="6126904F" w14:textId="77777777" w:rsidR="004D1EE2" w:rsidRPr="002C2A81" w:rsidRDefault="004D1EE2" w:rsidP="004D1EE2">
            <w:pPr>
              <w:rPr>
                <w:rFonts w:cs="Arial"/>
              </w:rPr>
            </w:pPr>
            <w:r w:rsidRPr="002C2A81">
              <w:rPr>
                <w:rFonts w:cs="Arial"/>
              </w:rPr>
              <w:t>The Boardroom</w:t>
            </w:r>
          </w:p>
        </w:tc>
        <w:tc>
          <w:tcPr>
            <w:tcW w:w="3748" w:type="dxa"/>
          </w:tcPr>
          <w:p w14:paraId="1F7B18F8" w14:textId="77777777" w:rsidR="004D1EE2" w:rsidRPr="002C2A81" w:rsidRDefault="004D1EE2" w:rsidP="004D1EE2">
            <w:pPr>
              <w:rPr>
                <w:rFonts w:cs="Arial"/>
              </w:rPr>
            </w:pPr>
            <w:r w:rsidRPr="002C2A81">
              <w:rPr>
                <w:rFonts w:cs="Arial"/>
              </w:rPr>
              <w:t>Breakout</w:t>
            </w:r>
          </w:p>
        </w:tc>
        <w:tc>
          <w:tcPr>
            <w:tcW w:w="3005" w:type="dxa"/>
          </w:tcPr>
          <w:p w14:paraId="507995A5" w14:textId="77777777" w:rsidR="004D1EE2" w:rsidRPr="002C2A81" w:rsidRDefault="004D1EE2" w:rsidP="004D1EE2">
            <w:pPr>
              <w:rPr>
                <w:rFonts w:cs="Arial"/>
              </w:rPr>
            </w:pPr>
            <w:r w:rsidRPr="002C2A81">
              <w:rPr>
                <w:rFonts w:cs="Arial"/>
              </w:rPr>
              <w:t>50</w:t>
            </w:r>
          </w:p>
        </w:tc>
      </w:tr>
      <w:tr w:rsidR="004D1EE2" w:rsidRPr="002C2A81" w14:paraId="2B64E814" w14:textId="77777777" w:rsidTr="004D1EE2">
        <w:tc>
          <w:tcPr>
            <w:tcW w:w="2263" w:type="dxa"/>
          </w:tcPr>
          <w:p w14:paraId="28EC3066" w14:textId="77777777" w:rsidR="004D1EE2" w:rsidRPr="002C2A81" w:rsidRDefault="004D1EE2" w:rsidP="004D1EE2">
            <w:pPr>
              <w:rPr>
                <w:rFonts w:cs="Arial"/>
              </w:rPr>
            </w:pPr>
            <w:r w:rsidRPr="002C2A81">
              <w:rPr>
                <w:rFonts w:cs="Arial"/>
              </w:rPr>
              <w:t>Meeting Rm 1</w:t>
            </w:r>
          </w:p>
        </w:tc>
        <w:tc>
          <w:tcPr>
            <w:tcW w:w="3748" w:type="dxa"/>
          </w:tcPr>
          <w:p w14:paraId="080987A9" w14:textId="77777777" w:rsidR="004D1EE2" w:rsidRPr="002C2A81" w:rsidRDefault="004D1EE2" w:rsidP="004D1EE2">
            <w:pPr>
              <w:rPr>
                <w:rFonts w:cs="Arial"/>
              </w:rPr>
            </w:pPr>
            <w:r w:rsidRPr="002C2A81">
              <w:rPr>
                <w:rFonts w:cs="Arial"/>
              </w:rPr>
              <w:t>Breakout</w:t>
            </w:r>
          </w:p>
        </w:tc>
        <w:tc>
          <w:tcPr>
            <w:tcW w:w="3005" w:type="dxa"/>
          </w:tcPr>
          <w:p w14:paraId="70A60042" w14:textId="77777777" w:rsidR="004D1EE2" w:rsidRPr="002C2A81" w:rsidRDefault="004D1EE2" w:rsidP="004D1EE2">
            <w:pPr>
              <w:rPr>
                <w:rFonts w:cs="Arial"/>
              </w:rPr>
            </w:pPr>
            <w:r w:rsidRPr="002C2A81">
              <w:rPr>
                <w:rFonts w:cs="Arial"/>
              </w:rPr>
              <w:t>30</w:t>
            </w:r>
          </w:p>
        </w:tc>
      </w:tr>
    </w:tbl>
    <w:p w14:paraId="1A1D48C9" w14:textId="77777777" w:rsidR="004D1EE2" w:rsidRDefault="004D1EE2" w:rsidP="004D1EE2">
      <w:pPr>
        <w:ind w:left="0" w:firstLine="0"/>
      </w:pPr>
    </w:p>
    <w:p w14:paraId="5F1F85B4" w14:textId="77777777" w:rsidR="004D1EE2" w:rsidRPr="004D1EE2" w:rsidRDefault="004D1EE2" w:rsidP="004D1EE2">
      <w:pPr>
        <w:ind w:left="0" w:firstLine="0"/>
        <w:rPr>
          <w:rStyle w:val="ReportTemplate"/>
          <w:i/>
        </w:rPr>
      </w:pPr>
      <w:r w:rsidRPr="004D1EE2">
        <w:rPr>
          <w:rFonts w:eastAsia="Times New Roman" w:cs="Arial"/>
          <w:lang w:eastAsia="en-GB"/>
        </w:rPr>
        <w:t xml:space="preserve">The Hotel is located within the </w:t>
      </w:r>
      <w:proofErr w:type="spellStart"/>
      <w:r w:rsidRPr="004D1EE2">
        <w:rPr>
          <w:rFonts w:eastAsia="Times New Roman" w:cs="Arial"/>
          <w:lang w:eastAsia="en-GB"/>
        </w:rPr>
        <w:t>Beetham</w:t>
      </w:r>
      <w:proofErr w:type="spellEnd"/>
      <w:r w:rsidRPr="004D1EE2">
        <w:rPr>
          <w:rFonts w:eastAsia="Times New Roman" w:cs="Arial"/>
          <w:lang w:eastAsia="en-GB"/>
        </w:rPr>
        <w:t xml:space="preserve"> Tower on </w:t>
      </w:r>
      <w:proofErr w:type="spellStart"/>
      <w:r w:rsidRPr="004D1EE2">
        <w:rPr>
          <w:rFonts w:eastAsia="Times New Roman" w:cs="Arial"/>
          <w:lang w:eastAsia="en-GB"/>
        </w:rPr>
        <w:t>Deansgate</w:t>
      </w:r>
      <w:proofErr w:type="spellEnd"/>
      <w:r w:rsidRPr="004D1EE2">
        <w:rPr>
          <w:rFonts w:eastAsia="Times New Roman" w:cs="Arial"/>
          <w:lang w:eastAsia="en-GB"/>
        </w:rPr>
        <w:t>, which is a short distance from Manchester Piccadilly railway station and 23 minutes to Manchester Airport. The hotel is located on the lower 23 floors and the conference facilities are on the 2</w:t>
      </w:r>
      <w:r w:rsidRPr="004D1EE2">
        <w:rPr>
          <w:rFonts w:eastAsia="Times New Roman" w:cs="Arial"/>
          <w:vertAlign w:val="superscript"/>
          <w:lang w:eastAsia="en-GB"/>
        </w:rPr>
        <w:t>nd</w:t>
      </w:r>
      <w:r w:rsidRPr="004D1EE2">
        <w:rPr>
          <w:rFonts w:eastAsia="Times New Roman" w:cs="Arial"/>
          <w:lang w:eastAsia="en-GB"/>
        </w:rPr>
        <w:t xml:space="preserve"> floor</w:t>
      </w:r>
    </w:p>
    <w:p w14:paraId="7CA19D61" w14:textId="77777777" w:rsidR="004D1EE2" w:rsidRPr="00C803F3" w:rsidRDefault="004D1EE2" w:rsidP="004D1EE2">
      <w:pPr>
        <w:ind w:left="0" w:firstLine="0"/>
      </w:pPr>
    </w:p>
    <w:p w14:paraId="1960C843" w14:textId="0022F0EE" w:rsidR="002539E9" w:rsidRPr="004D1EE2" w:rsidRDefault="004D1EE2" w:rsidP="004D1EE2">
      <w:pPr>
        <w:pStyle w:val="ListParagraph"/>
        <w:rPr>
          <w:rStyle w:val="ReportTemplate"/>
          <w:i/>
        </w:rPr>
      </w:pPr>
      <w:r w:rsidRPr="004D1EE2">
        <w:rPr>
          <w:rStyle w:val="ReportTemplate"/>
        </w:rPr>
        <w:t>Both hotels can provide accommodation but there are a range of hotels in both areas which can cater for all budgets</w:t>
      </w:r>
    </w:p>
    <w:p w14:paraId="5DDE4B02" w14:textId="77777777" w:rsidR="004D1EE2" w:rsidRPr="004D1EE2" w:rsidRDefault="004D1EE2" w:rsidP="004D1EE2">
      <w:pPr>
        <w:pStyle w:val="ListParagraph"/>
        <w:numPr>
          <w:ilvl w:val="0"/>
          <w:numId w:val="0"/>
        </w:numPr>
        <w:ind w:left="360"/>
        <w:rPr>
          <w:rStyle w:val="ReportTemplate"/>
          <w:i/>
        </w:rPr>
      </w:pPr>
    </w:p>
    <w:p w14:paraId="79591331" w14:textId="77777777" w:rsidR="004D1EE2" w:rsidRDefault="004D1EE2" w:rsidP="004D1EE2">
      <w:pPr>
        <w:pStyle w:val="ListParagraph"/>
        <w:rPr>
          <w:lang w:eastAsia="en-GB"/>
        </w:rPr>
      </w:pPr>
      <w:r w:rsidRPr="002C2A81">
        <w:rPr>
          <w:lang w:eastAsia="en-GB"/>
        </w:rPr>
        <w:t>In order to fulfil the majority of the criteria set out in 3 and 4, the availability of suitable venues is limited. Both these hotels meet the criteria.</w:t>
      </w:r>
    </w:p>
    <w:p w14:paraId="68F92814" w14:textId="77777777" w:rsidR="004D1EE2" w:rsidRPr="002C2A81" w:rsidRDefault="004D1EE2" w:rsidP="004D1EE2">
      <w:pPr>
        <w:pStyle w:val="ListParagraph"/>
        <w:numPr>
          <w:ilvl w:val="0"/>
          <w:numId w:val="0"/>
        </w:numPr>
        <w:ind w:left="360"/>
        <w:rPr>
          <w:lang w:eastAsia="en-GB"/>
        </w:rPr>
      </w:pPr>
    </w:p>
    <w:p w14:paraId="79F5F828" w14:textId="77777777" w:rsidR="004D1EE2" w:rsidRDefault="004D1EE2" w:rsidP="004D1EE2">
      <w:pPr>
        <w:pStyle w:val="ListParagraph"/>
        <w:rPr>
          <w:lang w:eastAsia="en-GB"/>
        </w:rPr>
      </w:pPr>
      <w:r w:rsidRPr="002C2A81">
        <w:rPr>
          <w:lang w:eastAsia="en-GB"/>
        </w:rPr>
        <w:t>Price comparison for both venues shown on the table below:</w:t>
      </w:r>
    </w:p>
    <w:tbl>
      <w:tblPr>
        <w:tblStyle w:val="TableGrid"/>
        <w:tblW w:w="0" w:type="auto"/>
        <w:tblLook w:val="04A0" w:firstRow="1" w:lastRow="0" w:firstColumn="1" w:lastColumn="0" w:noHBand="0" w:noVBand="1"/>
      </w:tblPr>
      <w:tblGrid>
        <w:gridCol w:w="1796"/>
        <w:gridCol w:w="1491"/>
        <w:gridCol w:w="1984"/>
        <w:gridCol w:w="1560"/>
        <w:gridCol w:w="1984"/>
      </w:tblGrid>
      <w:tr w:rsidR="004D1EE2" w:rsidRPr="002C2A81" w14:paraId="0D8233DA" w14:textId="77777777" w:rsidTr="004D1EE2">
        <w:tc>
          <w:tcPr>
            <w:tcW w:w="1696" w:type="dxa"/>
          </w:tcPr>
          <w:p w14:paraId="4C303550" w14:textId="77777777" w:rsidR="004D1EE2" w:rsidRPr="002C2A81" w:rsidRDefault="004D1EE2" w:rsidP="004D1EE2">
            <w:pPr>
              <w:pStyle w:val="ListParagraph"/>
            </w:pPr>
            <w:r w:rsidRPr="002C2A81">
              <w:t>Hotel</w:t>
            </w:r>
          </w:p>
        </w:tc>
        <w:tc>
          <w:tcPr>
            <w:tcW w:w="1418" w:type="dxa"/>
          </w:tcPr>
          <w:p w14:paraId="707A1F04" w14:textId="77777777" w:rsidR="004D1EE2" w:rsidRPr="002C2A81" w:rsidRDefault="004D1EE2" w:rsidP="004D1EE2">
            <w:pPr>
              <w:rPr>
                <w:rFonts w:cs="Arial"/>
                <w:b/>
              </w:rPr>
            </w:pPr>
            <w:r w:rsidRPr="002C2A81">
              <w:rPr>
                <w:rFonts w:cs="Arial"/>
                <w:b/>
              </w:rPr>
              <w:t>Day Delegate rate (DDR)</w:t>
            </w:r>
          </w:p>
        </w:tc>
        <w:tc>
          <w:tcPr>
            <w:tcW w:w="1984" w:type="dxa"/>
          </w:tcPr>
          <w:p w14:paraId="1804DE4E" w14:textId="77777777" w:rsidR="004D1EE2" w:rsidRPr="002C2A81" w:rsidRDefault="004D1EE2" w:rsidP="004D1EE2">
            <w:pPr>
              <w:rPr>
                <w:rFonts w:cs="Arial"/>
                <w:b/>
              </w:rPr>
            </w:pPr>
            <w:r w:rsidRPr="002C2A81">
              <w:rPr>
                <w:rFonts w:cs="Arial"/>
                <w:b/>
              </w:rPr>
              <w:t xml:space="preserve">Room Hire </w:t>
            </w:r>
          </w:p>
        </w:tc>
        <w:tc>
          <w:tcPr>
            <w:tcW w:w="1560" w:type="dxa"/>
          </w:tcPr>
          <w:p w14:paraId="0DD127F0" w14:textId="77777777" w:rsidR="004D1EE2" w:rsidRPr="002C2A81" w:rsidRDefault="004D1EE2" w:rsidP="004D1EE2">
            <w:pPr>
              <w:rPr>
                <w:rFonts w:cs="Arial"/>
                <w:b/>
              </w:rPr>
            </w:pPr>
            <w:r w:rsidRPr="002C2A81">
              <w:rPr>
                <w:rFonts w:cs="Arial"/>
                <w:b/>
              </w:rPr>
              <w:t>Bedroom rate</w:t>
            </w:r>
          </w:p>
        </w:tc>
        <w:tc>
          <w:tcPr>
            <w:tcW w:w="1984" w:type="dxa"/>
          </w:tcPr>
          <w:p w14:paraId="2BF5CE3F" w14:textId="77777777" w:rsidR="004D1EE2" w:rsidRPr="002C2A81" w:rsidRDefault="004D1EE2" w:rsidP="004D1EE2">
            <w:pPr>
              <w:rPr>
                <w:rFonts w:cs="Arial"/>
                <w:b/>
              </w:rPr>
            </w:pPr>
            <w:r w:rsidRPr="002C2A81">
              <w:rPr>
                <w:rFonts w:cs="Arial"/>
                <w:b/>
              </w:rPr>
              <w:t>Dinner rate</w:t>
            </w:r>
          </w:p>
          <w:p w14:paraId="0FF6193C" w14:textId="77777777" w:rsidR="004D1EE2" w:rsidRPr="002C2A81" w:rsidRDefault="004D1EE2" w:rsidP="004D1EE2">
            <w:pPr>
              <w:rPr>
                <w:rFonts w:cs="Arial"/>
                <w:b/>
              </w:rPr>
            </w:pPr>
            <w:r w:rsidRPr="002C2A81">
              <w:rPr>
                <w:rFonts w:cs="Arial"/>
                <w:b/>
              </w:rPr>
              <w:t>3 course</w:t>
            </w:r>
          </w:p>
          <w:p w14:paraId="6F32DE2C" w14:textId="77777777" w:rsidR="004D1EE2" w:rsidRPr="002C2A81" w:rsidRDefault="004D1EE2" w:rsidP="004D1EE2">
            <w:pPr>
              <w:rPr>
                <w:rFonts w:cs="Arial"/>
                <w:b/>
              </w:rPr>
            </w:pPr>
            <w:r w:rsidRPr="002C2A81">
              <w:rPr>
                <w:rFonts w:cs="Arial"/>
                <w:b/>
              </w:rPr>
              <w:t>(prices starting from)</w:t>
            </w:r>
          </w:p>
        </w:tc>
      </w:tr>
      <w:tr w:rsidR="004D1EE2" w:rsidRPr="002C2A81" w14:paraId="2A99B99D" w14:textId="77777777" w:rsidTr="004D1EE2">
        <w:tc>
          <w:tcPr>
            <w:tcW w:w="1696" w:type="dxa"/>
          </w:tcPr>
          <w:p w14:paraId="570BDB08" w14:textId="77777777" w:rsidR="004D1EE2" w:rsidRPr="002C2A81" w:rsidRDefault="004D1EE2" w:rsidP="004D1EE2">
            <w:pPr>
              <w:rPr>
                <w:rFonts w:cs="Arial"/>
                <w:b/>
              </w:rPr>
            </w:pPr>
            <w:r w:rsidRPr="002C2A81">
              <w:rPr>
                <w:rFonts w:cs="Arial"/>
                <w:b/>
              </w:rPr>
              <w:t>Grand Hotel Blackpool</w:t>
            </w:r>
          </w:p>
          <w:p w14:paraId="7CDE9B84" w14:textId="77777777" w:rsidR="004D1EE2" w:rsidRPr="002C2A81" w:rsidRDefault="004D1EE2" w:rsidP="004D1EE2">
            <w:pPr>
              <w:rPr>
                <w:rFonts w:cs="Arial"/>
              </w:rPr>
            </w:pPr>
          </w:p>
          <w:p w14:paraId="03012073" w14:textId="77777777" w:rsidR="004D1EE2" w:rsidRPr="002C2A81" w:rsidRDefault="004D1EE2" w:rsidP="004D1EE2">
            <w:pPr>
              <w:rPr>
                <w:rFonts w:cs="Arial"/>
              </w:rPr>
            </w:pPr>
          </w:p>
        </w:tc>
        <w:tc>
          <w:tcPr>
            <w:tcW w:w="1418" w:type="dxa"/>
          </w:tcPr>
          <w:p w14:paraId="5D469B3D" w14:textId="77777777" w:rsidR="004D1EE2" w:rsidRPr="002C2A81" w:rsidRDefault="004D1EE2" w:rsidP="004D1EE2">
            <w:pPr>
              <w:rPr>
                <w:rFonts w:cs="Arial"/>
              </w:rPr>
            </w:pPr>
            <w:r w:rsidRPr="002C2A81">
              <w:rPr>
                <w:rFonts w:cs="Arial"/>
              </w:rPr>
              <w:t>£42</w:t>
            </w:r>
          </w:p>
        </w:tc>
        <w:tc>
          <w:tcPr>
            <w:tcW w:w="1984" w:type="dxa"/>
          </w:tcPr>
          <w:p w14:paraId="78BE6D98" w14:textId="77777777" w:rsidR="004D1EE2" w:rsidRPr="002C2A81" w:rsidRDefault="004D1EE2" w:rsidP="004D1EE2">
            <w:pPr>
              <w:rPr>
                <w:rFonts w:cs="Arial"/>
              </w:rPr>
            </w:pPr>
            <w:r w:rsidRPr="002C2A81">
              <w:rPr>
                <w:rFonts w:cs="Arial"/>
              </w:rPr>
              <w:t>Main room – included in DDR</w:t>
            </w:r>
          </w:p>
          <w:p w14:paraId="3C7F496B" w14:textId="77777777" w:rsidR="004D1EE2" w:rsidRPr="002C2A81" w:rsidRDefault="004D1EE2" w:rsidP="004D1EE2">
            <w:pPr>
              <w:rPr>
                <w:rFonts w:cs="Arial"/>
              </w:rPr>
            </w:pPr>
          </w:p>
          <w:p w14:paraId="7A30689B" w14:textId="77777777" w:rsidR="004D1EE2" w:rsidRPr="002C2A81" w:rsidRDefault="004D1EE2" w:rsidP="004D1EE2">
            <w:pPr>
              <w:rPr>
                <w:rFonts w:cs="Arial"/>
              </w:rPr>
            </w:pPr>
            <w:r w:rsidRPr="002C2A81">
              <w:rPr>
                <w:rFonts w:cs="Arial"/>
              </w:rPr>
              <w:t>Breakout space - £350</w:t>
            </w:r>
          </w:p>
          <w:p w14:paraId="2E2A013D" w14:textId="77777777" w:rsidR="004D1EE2" w:rsidRPr="002C2A81" w:rsidRDefault="004D1EE2" w:rsidP="004D1EE2">
            <w:pPr>
              <w:rPr>
                <w:rFonts w:cs="Arial"/>
              </w:rPr>
            </w:pPr>
          </w:p>
          <w:p w14:paraId="1C7E4F9D" w14:textId="77777777" w:rsidR="004D1EE2" w:rsidRPr="002C2A81" w:rsidRDefault="004D1EE2" w:rsidP="004D1EE2">
            <w:pPr>
              <w:rPr>
                <w:rFonts w:cs="Arial"/>
              </w:rPr>
            </w:pPr>
            <w:r w:rsidRPr="002C2A81">
              <w:rPr>
                <w:rFonts w:cs="Arial"/>
              </w:rPr>
              <w:t>Exhibition space both days  -£1,500</w:t>
            </w:r>
          </w:p>
          <w:p w14:paraId="34C0F455" w14:textId="77777777" w:rsidR="004D1EE2" w:rsidRPr="002C2A81" w:rsidRDefault="004D1EE2" w:rsidP="004D1EE2">
            <w:pPr>
              <w:rPr>
                <w:rFonts w:cs="Arial"/>
              </w:rPr>
            </w:pPr>
          </w:p>
        </w:tc>
        <w:tc>
          <w:tcPr>
            <w:tcW w:w="1560" w:type="dxa"/>
          </w:tcPr>
          <w:p w14:paraId="696A207E" w14:textId="77777777" w:rsidR="004D1EE2" w:rsidRPr="002C2A81" w:rsidRDefault="004D1EE2" w:rsidP="004D1EE2">
            <w:pPr>
              <w:rPr>
                <w:rFonts w:cs="Arial"/>
              </w:rPr>
            </w:pPr>
            <w:r w:rsidRPr="002C2A81">
              <w:rPr>
                <w:rFonts w:cs="Arial"/>
              </w:rPr>
              <w:t>£100 per night</w:t>
            </w:r>
          </w:p>
        </w:tc>
        <w:tc>
          <w:tcPr>
            <w:tcW w:w="1984" w:type="dxa"/>
          </w:tcPr>
          <w:p w14:paraId="276D63C8" w14:textId="77777777" w:rsidR="004D1EE2" w:rsidRPr="002C2A81" w:rsidRDefault="004D1EE2" w:rsidP="004D1EE2">
            <w:pPr>
              <w:rPr>
                <w:rFonts w:cs="Arial"/>
              </w:rPr>
            </w:pPr>
            <w:r w:rsidRPr="002C2A81">
              <w:rPr>
                <w:rFonts w:cs="Arial"/>
              </w:rPr>
              <w:t xml:space="preserve">£30 </w:t>
            </w:r>
          </w:p>
        </w:tc>
      </w:tr>
      <w:tr w:rsidR="004D1EE2" w:rsidRPr="002C2A81" w14:paraId="4883EFD0" w14:textId="77777777" w:rsidTr="004D1EE2">
        <w:tc>
          <w:tcPr>
            <w:tcW w:w="1696" w:type="dxa"/>
          </w:tcPr>
          <w:p w14:paraId="66727A39" w14:textId="77777777" w:rsidR="004D1EE2" w:rsidRPr="002C2A81" w:rsidRDefault="004D1EE2" w:rsidP="004D1EE2">
            <w:pPr>
              <w:rPr>
                <w:rFonts w:cs="Arial"/>
                <w:b/>
              </w:rPr>
            </w:pPr>
            <w:r w:rsidRPr="002C2A81">
              <w:rPr>
                <w:rFonts w:cs="Arial"/>
                <w:b/>
              </w:rPr>
              <w:t xml:space="preserve">Hilton Manchester </w:t>
            </w:r>
          </w:p>
          <w:p w14:paraId="50C7D3C4" w14:textId="77777777" w:rsidR="004D1EE2" w:rsidRPr="002C2A81" w:rsidRDefault="004D1EE2" w:rsidP="004D1EE2">
            <w:pPr>
              <w:rPr>
                <w:rFonts w:cs="Arial"/>
                <w:b/>
              </w:rPr>
            </w:pPr>
            <w:proofErr w:type="spellStart"/>
            <w:r w:rsidRPr="002C2A81">
              <w:rPr>
                <w:rFonts w:cs="Arial"/>
                <w:b/>
              </w:rPr>
              <w:t>Deansgate</w:t>
            </w:r>
            <w:proofErr w:type="spellEnd"/>
          </w:p>
          <w:p w14:paraId="1D13F819" w14:textId="77777777" w:rsidR="004D1EE2" w:rsidRPr="002C2A81" w:rsidRDefault="004D1EE2" w:rsidP="004D1EE2">
            <w:pPr>
              <w:rPr>
                <w:rFonts w:cs="Arial"/>
                <w:b/>
              </w:rPr>
            </w:pPr>
          </w:p>
        </w:tc>
        <w:tc>
          <w:tcPr>
            <w:tcW w:w="1418" w:type="dxa"/>
          </w:tcPr>
          <w:p w14:paraId="22218E28" w14:textId="77777777" w:rsidR="004D1EE2" w:rsidRPr="002C2A81" w:rsidRDefault="004D1EE2" w:rsidP="004D1EE2">
            <w:pPr>
              <w:rPr>
                <w:rFonts w:cs="Arial"/>
              </w:rPr>
            </w:pPr>
            <w:r w:rsidRPr="002C2A81">
              <w:rPr>
                <w:rFonts w:cs="Arial"/>
              </w:rPr>
              <w:t xml:space="preserve">£52 </w:t>
            </w:r>
          </w:p>
        </w:tc>
        <w:tc>
          <w:tcPr>
            <w:tcW w:w="1984" w:type="dxa"/>
          </w:tcPr>
          <w:p w14:paraId="7C575B69" w14:textId="77777777" w:rsidR="004D1EE2" w:rsidRPr="002C2A81" w:rsidRDefault="004D1EE2" w:rsidP="004D1EE2">
            <w:pPr>
              <w:rPr>
                <w:rFonts w:cs="Arial"/>
              </w:rPr>
            </w:pPr>
            <w:r w:rsidRPr="002C2A81">
              <w:rPr>
                <w:rFonts w:cs="Arial"/>
              </w:rPr>
              <w:t>Main room and exhibition space included in DDR</w:t>
            </w:r>
          </w:p>
          <w:p w14:paraId="3E5AC4E7" w14:textId="77777777" w:rsidR="004D1EE2" w:rsidRPr="002C2A81" w:rsidRDefault="004D1EE2" w:rsidP="004D1EE2">
            <w:pPr>
              <w:rPr>
                <w:rFonts w:cs="Arial"/>
              </w:rPr>
            </w:pPr>
          </w:p>
          <w:p w14:paraId="3B40B234" w14:textId="77777777" w:rsidR="004D1EE2" w:rsidRPr="002C2A81" w:rsidRDefault="004D1EE2" w:rsidP="004D1EE2">
            <w:pPr>
              <w:rPr>
                <w:rFonts w:cs="Arial"/>
              </w:rPr>
            </w:pPr>
            <w:r w:rsidRPr="002C2A81">
              <w:rPr>
                <w:rFonts w:cs="Arial"/>
              </w:rPr>
              <w:t>Breakout space £700</w:t>
            </w:r>
          </w:p>
          <w:p w14:paraId="3C013807" w14:textId="77777777" w:rsidR="004D1EE2" w:rsidRPr="002C2A81" w:rsidRDefault="004D1EE2" w:rsidP="004D1EE2">
            <w:pPr>
              <w:rPr>
                <w:rFonts w:cs="Arial"/>
              </w:rPr>
            </w:pPr>
          </w:p>
        </w:tc>
        <w:tc>
          <w:tcPr>
            <w:tcW w:w="1560" w:type="dxa"/>
          </w:tcPr>
          <w:p w14:paraId="15CF34CB" w14:textId="77777777" w:rsidR="004D1EE2" w:rsidRPr="002C2A81" w:rsidRDefault="004D1EE2" w:rsidP="004D1EE2">
            <w:pPr>
              <w:rPr>
                <w:rFonts w:cs="Arial"/>
              </w:rPr>
            </w:pPr>
            <w:r w:rsidRPr="002C2A81">
              <w:rPr>
                <w:rFonts w:cs="Arial"/>
              </w:rPr>
              <w:t>£165 per night</w:t>
            </w:r>
          </w:p>
        </w:tc>
        <w:tc>
          <w:tcPr>
            <w:tcW w:w="1984" w:type="dxa"/>
          </w:tcPr>
          <w:p w14:paraId="492917D4" w14:textId="77777777" w:rsidR="004D1EE2" w:rsidRPr="002C2A81" w:rsidRDefault="004D1EE2" w:rsidP="004D1EE2">
            <w:pPr>
              <w:rPr>
                <w:rFonts w:cs="Arial"/>
              </w:rPr>
            </w:pPr>
            <w:r w:rsidRPr="002C2A81">
              <w:rPr>
                <w:rFonts w:cs="Arial"/>
              </w:rPr>
              <w:t>£40</w:t>
            </w:r>
          </w:p>
        </w:tc>
      </w:tr>
    </w:tbl>
    <w:p w14:paraId="0893E990" w14:textId="77777777" w:rsidR="004D1EE2" w:rsidRPr="002C2A81" w:rsidRDefault="004D1EE2" w:rsidP="004D1EE2">
      <w:pPr>
        <w:spacing w:after="0" w:line="240" w:lineRule="auto"/>
        <w:rPr>
          <w:rFonts w:cs="Arial"/>
          <w:lang w:eastAsia="en-GB"/>
        </w:rPr>
      </w:pPr>
      <w:r w:rsidRPr="002C2A81">
        <w:rPr>
          <w:rFonts w:cs="Arial"/>
          <w:lang w:eastAsia="en-GB"/>
        </w:rPr>
        <w:t xml:space="preserve">*costs shown are including VAT     </w:t>
      </w:r>
    </w:p>
    <w:p w14:paraId="392C4317" w14:textId="6C3E0C3E" w:rsidR="004D1EE2" w:rsidRDefault="004D1EE2" w:rsidP="004D1EE2">
      <w:pPr>
        <w:ind w:left="0" w:firstLine="0"/>
        <w:rPr>
          <w:lang w:eastAsia="en-GB"/>
        </w:rPr>
      </w:pPr>
      <w:r>
        <w:rPr>
          <w:lang w:eastAsia="en-GB"/>
        </w:rPr>
        <w:t xml:space="preserve"> </w:t>
      </w:r>
    </w:p>
    <w:p w14:paraId="4663600A" w14:textId="77777777" w:rsidR="00290561" w:rsidRDefault="00290561" w:rsidP="00290561">
      <w:pPr>
        <w:pStyle w:val="ListParagraph"/>
      </w:pPr>
      <w:r>
        <w:t>Advantages of the Grand Hotel</w:t>
      </w:r>
      <w:r w:rsidRPr="002C2A81">
        <w:t xml:space="preserve"> Blackpool</w:t>
      </w:r>
    </w:p>
    <w:p w14:paraId="1EE34CEB" w14:textId="77777777" w:rsidR="00290561" w:rsidRDefault="00290561" w:rsidP="00290561">
      <w:pPr>
        <w:pStyle w:val="ListParagraph"/>
        <w:numPr>
          <w:ilvl w:val="0"/>
          <w:numId w:val="0"/>
        </w:numPr>
        <w:ind w:left="360"/>
      </w:pPr>
    </w:p>
    <w:p w14:paraId="4C25795C" w14:textId="77777777" w:rsidR="00290561" w:rsidRDefault="00290561" w:rsidP="00290561">
      <w:pPr>
        <w:pStyle w:val="ListParagraph"/>
        <w:numPr>
          <w:ilvl w:val="1"/>
          <w:numId w:val="1"/>
        </w:numPr>
        <w:ind w:left="851" w:hanging="491"/>
      </w:pPr>
      <w:r>
        <w:t>Blackpool will be the cheaper option in terms of room hire and the day delegate rate, however we would have to pay for exhibition space as it is a separate room but there may be some scope to negotiate on the price.</w:t>
      </w:r>
    </w:p>
    <w:p w14:paraId="4B5BE169" w14:textId="77777777" w:rsidR="00290561" w:rsidRDefault="00290561" w:rsidP="00290561">
      <w:pPr>
        <w:pStyle w:val="ListParagraph"/>
        <w:numPr>
          <w:ilvl w:val="0"/>
          <w:numId w:val="0"/>
        </w:numPr>
        <w:ind w:left="851"/>
      </w:pPr>
    </w:p>
    <w:p w14:paraId="54AD8CCC" w14:textId="77777777" w:rsidR="00290561" w:rsidRDefault="00290561" w:rsidP="00290561">
      <w:pPr>
        <w:pStyle w:val="ListParagraph"/>
        <w:numPr>
          <w:ilvl w:val="1"/>
          <w:numId w:val="1"/>
        </w:numPr>
        <w:ind w:left="851" w:hanging="491"/>
      </w:pPr>
      <w:r>
        <w:lastRenderedPageBreak/>
        <w:t>The overnight accommodation for delegates is much cheaper than Manchester. Once you take in to consideration the conference fee of £395 then the additional cost for accommodation has to be a major consideration.</w:t>
      </w:r>
    </w:p>
    <w:p w14:paraId="7DE15F9D" w14:textId="77777777" w:rsidR="00290561" w:rsidRDefault="00290561" w:rsidP="00290561">
      <w:pPr>
        <w:pStyle w:val="ListParagraph"/>
        <w:numPr>
          <w:ilvl w:val="0"/>
          <w:numId w:val="0"/>
        </w:numPr>
        <w:ind w:left="851"/>
      </w:pPr>
    </w:p>
    <w:p w14:paraId="20FF47CD" w14:textId="77777777" w:rsidR="00290561" w:rsidRDefault="00290561" w:rsidP="00290561">
      <w:pPr>
        <w:pStyle w:val="ListParagraph"/>
        <w:numPr>
          <w:ilvl w:val="1"/>
          <w:numId w:val="1"/>
        </w:numPr>
        <w:ind w:left="851" w:hanging="491"/>
      </w:pPr>
      <w:r>
        <w:t>All of the breakout spaces are a good size ranging from 80 -120 in theatre style.</w:t>
      </w:r>
    </w:p>
    <w:p w14:paraId="07AA6C9F" w14:textId="77777777" w:rsidR="00290561" w:rsidRDefault="00290561" w:rsidP="00290561">
      <w:pPr>
        <w:pStyle w:val="ListParagraph"/>
        <w:numPr>
          <w:ilvl w:val="0"/>
          <w:numId w:val="0"/>
        </w:numPr>
        <w:ind w:left="851"/>
      </w:pPr>
    </w:p>
    <w:p w14:paraId="7C724734" w14:textId="77777777" w:rsidR="00290561" w:rsidRDefault="00290561" w:rsidP="00290561">
      <w:pPr>
        <w:pStyle w:val="ListParagraph"/>
        <w:numPr>
          <w:ilvl w:val="1"/>
          <w:numId w:val="1"/>
        </w:numPr>
        <w:ind w:left="851" w:hanging="491"/>
      </w:pPr>
      <w:r>
        <w:t>Car parking on site.</w:t>
      </w:r>
    </w:p>
    <w:p w14:paraId="29404CB5" w14:textId="77777777" w:rsidR="00290561" w:rsidRDefault="00290561" w:rsidP="00290561">
      <w:pPr>
        <w:pStyle w:val="ListParagraph"/>
        <w:numPr>
          <w:ilvl w:val="0"/>
          <w:numId w:val="0"/>
        </w:numPr>
        <w:ind w:left="851"/>
      </w:pPr>
    </w:p>
    <w:p w14:paraId="77477261" w14:textId="0F5655D9" w:rsidR="00290561" w:rsidRPr="002C2A81" w:rsidRDefault="00290561" w:rsidP="00290561">
      <w:pPr>
        <w:pStyle w:val="ListParagraph"/>
        <w:numPr>
          <w:ilvl w:val="1"/>
          <w:numId w:val="1"/>
        </w:numPr>
        <w:ind w:left="851" w:hanging="491"/>
      </w:pPr>
      <w:r>
        <w:t>Outdoor space available if we get asked about demonstrations of vehicles, equipment etc.</w:t>
      </w:r>
    </w:p>
    <w:p w14:paraId="7216AD02" w14:textId="2E61C175" w:rsidR="004D1EE2" w:rsidRDefault="00290561" w:rsidP="00290561">
      <w:pPr>
        <w:pStyle w:val="ListParagraph"/>
        <w:numPr>
          <w:ilvl w:val="0"/>
          <w:numId w:val="0"/>
        </w:numPr>
        <w:ind w:left="360"/>
        <w:rPr>
          <w:lang w:eastAsia="en-GB"/>
        </w:rPr>
      </w:pPr>
      <w:r>
        <w:rPr>
          <w:lang w:eastAsia="en-GB"/>
        </w:rPr>
        <w:t xml:space="preserve"> </w:t>
      </w:r>
    </w:p>
    <w:p w14:paraId="7E280E4A" w14:textId="77777777" w:rsidR="00290561" w:rsidRDefault="00290561" w:rsidP="00290561">
      <w:pPr>
        <w:pStyle w:val="ListParagraph"/>
      </w:pPr>
      <w:r>
        <w:t xml:space="preserve">Disadvantages of the Grand Hotel </w:t>
      </w:r>
      <w:r w:rsidRPr="002C2A81">
        <w:t>Blackpool</w:t>
      </w:r>
    </w:p>
    <w:p w14:paraId="54190A0A" w14:textId="77777777" w:rsidR="00290561" w:rsidRPr="002C2A81" w:rsidRDefault="00290561" w:rsidP="00290561">
      <w:pPr>
        <w:pStyle w:val="ListParagraph"/>
        <w:numPr>
          <w:ilvl w:val="0"/>
          <w:numId w:val="0"/>
        </w:numPr>
        <w:ind w:left="360"/>
      </w:pPr>
    </w:p>
    <w:p w14:paraId="1AD9865B" w14:textId="5EEC91C0" w:rsidR="00290561" w:rsidRDefault="00290561" w:rsidP="00290561">
      <w:pPr>
        <w:pStyle w:val="ListParagraph"/>
        <w:numPr>
          <w:ilvl w:val="1"/>
          <w:numId w:val="1"/>
        </w:numPr>
        <w:ind w:left="851" w:hanging="491"/>
      </w:pPr>
      <w:r w:rsidRPr="002C2A81">
        <w:t>Travel time from certain parts of the country.</w:t>
      </w:r>
    </w:p>
    <w:p w14:paraId="34A06671" w14:textId="77777777" w:rsidR="00290561" w:rsidRPr="002C2A81" w:rsidRDefault="00290561" w:rsidP="00290561">
      <w:pPr>
        <w:pStyle w:val="ListParagraph"/>
        <w:numPr>
          <w:ilvl w:val="0"/>
          <w:numId w:val="0"/>
        </w:numPr>
        <w:ind w:left="851"/>
      </w:pPr>
    </w:p>
    <w:p w14:paraId="34C9DEB6" w14:textId="77777777" w:rsidR="00290561" w:rsidRDefault="00290561" w:rsidP="00290561">
      <w:pPr>
        <w:pStyle w:val="ListParagraph"/>
      </w:pPr>
      <w:r>
        <w:rPr>
          <w:rFonts w:eastAsia="Times New Roman"/>
        </w:rPr>
        <w:t xml:space="preserve">Advantages of the </w:t>
      </w:r>
      <w:r w:rsidRPr="002C2A81">
        <w:t xml:space="preserve">Hilton Manchester </w:t>
      </w:r>
      <w:proofErr w:type="spellStart"/>
      <w:r w:rsidRPr="002C2A81">
        <w:t>Deansgate</w:t>
      </w:r>
      <w:proofErr w:type="spellEnd"/>
      <w:r w:rsidRPr="002C2A81">
        <w:t xml:space="preserve"> </w:t>
      </w:r>
    </w:p>
    <w:p w14:paraId="062B07A5" w14:textId="77777777" w:rsidR="00290561" w:rsidRPr="002C2A81" w:rsidRDefault="00290561" w:rsidP="00290561">
      <w:pPr>
        <w:pStyle w:val="ListParagraph"/>
        <w:numPr>
          <w:ilvl w:val="0"/>
          <w:numId w:val="0"/>
        </w:numPr>
        <w:ind w:left="360"/>
      </w:pPr>
    </w:p>
    <w:p w14:paraId="67F63A69" w14:textId="77777777" w:rsidR="00290561" w:rsidRDefault="00290561" w:rsidP="00290561">
      <w:pPr>
        <w:pStyle w:val="ListParagraph"/>
        <w:numPr>
          <w:ilvl w:val="1"/>
          <w:numId w:val="1"/>
        </w:numPr>
        <w:ind w:left="851" w:hanging="491"/>
        <w:rPr>
          <w:lang w:eastAsia="en-GB"/>
        </w:rPr>
      </w:pPr>
      <w:r>
        <w:rPr>
          <w:lang w:eastAsia="en-GB"/>
        </w:rPr>
        <w:t>Central location in a modern landmark hotel.</w:t>
      </w:r>
    </w:p>
    <w:p w14:paraId="68F7A67C" w14:textId="77777777" w:rsidR="00290561" w:rsidRDefault="00290561" w:rsidP="00290561">
      <w:pPr>
        <w:pStyle w:val="ListParagraph"/>
        <w:numPr>
          <w:ilvl w:val="0"/>
          <w:numId w:val="0"/>
        </w:numPr>
        <w:ind w:left="851"/>
        <w:rPr>
          <w:lang w:eastAsia="en-GB"/>
        </w:rPr>
      </w:pPr>
    </w:p>
    <w:p w14:paraId="14875C07" w14:textId="77777777" w:rsidR="00290561" w:rsidRDefault="00290561" w:rsidP="006D7CB4">
      <w:pPr>
        <w:pStyle w:val="ListParagraph"/>
        <w:numPr>
          <w:ilvl w:val="1"/>
          <w:numId w:val="1"/>
        </w:numPr>
        <w:ind w:left="851" w:hanging="491"/>
        <w:rPr>
          <w:lang w:eastAsia="en-GB"/>
        </w:rPr>
      </w:pPr>
      <w:r>
        <w:rPr>
          <w:lang w:eastAsia="en-GB"/>
        </w:rPr>
        <w:t xml:space="preserve">The exhibition space can be located in the </w:t>
      </w:r>
      <w:proofErr w:type="spellStart"/>
      <w:r>
        <w:rPr>
          <w:lang w:eastAsia="en-GB"/>
        </w:rPr>
        <w:t>Deansgate</w:t>
      </w:r>
      <w:proofErr w:type="spellEnd"/>
      <w:r>
        <w:rPr>
          <w:lang w:eastAsia="en-GB"/>
        </w:rPr>
        <w:t xml:space="preserve"> Foyer which means there is no additional charge for this space. </w:t>
      </w:r>
    </w:p>
    <w:p w14:paraId="08149260" w14:textId="77777777" w:rsidR="00290561" w:rsidRDefault="00290561" w:rsidP="00290561">
      <w:pPr>
        <w:pStyle w:val="ListParagraph"/>
        <w:numPr>
          <w:ilvl w:val="0"/>
          <w:numId w:val="0"/>
        </w:numPr>
        <w:ind w:left="851"/>
        <w:rPr>
          <w:lang w:eastAsia="en-GB"/>
        </w:rPr>
      </w:pPr>
    </w:p>
    <w:p w14:paraId="655917DE" w14:textId="27E238D5" w:rsidR="00290561" w:rsidRDefault="00290561" w:rsidP="006D7CB4">
      <w:pPr>
        <w:pStyle w:val="ListParagraph"/>
        <w:numPr>
          <w:ilvl w:val="1"/>
          <w:numId w:val="1"/>
        </w:numPr>
        <w:ind w:left="851" w:hanging="491"/>
        <w:rPr>
          <w:lang w:eastAsia="en-GB"/>
        </w:rPr>
      </w:pPr>
      <w:r>
        <w:rPr>
          <w:lang w:eastAsia="en-GB"/>
        </w:rPr>
        <w:t>Good transport links, which makes it possibly easier to get to than Blackpool.</w:t>
      </w:r>
    </w:p>
    <w:p w14:paraId="6A796069" w14:textId="77777777" w:rsidR="00290561" w:rsidRDefault="00290561" w:rsidP="00290561">
      <w:pPr>
        <w:pStyle w:val="ListParagraph"/>
        <w:numPr>
          <w:ilvl w:val="0"/>
          <w:numId w:val="0"/>
        </w:numPr>
        <w:ind w:left="851"/>
        <w:rPr>
          <w:lang w:eastAsia="en-GB"/>
        </w:rPr>
      </w:pPr>
    </w:p>
    <w:p w14:paraId="0B295054" w14:textId="77777777" w:rsidR="00290561" w:rsidRDefault="00290561" w:rsidP="00290561">
      <w:pPr>
        <w:pStyle w:val="ListParagraph"/>
      </w:pPr>
      <w:r>
        <w:t>Disadvantages of the Hilton</w:t>
      </w:r>
      <w:r w:rsidRPr="002C2A81">
        <w:t xml:space="preserve"> Manchester</w:t>
      </w:r>
      <w:r>
        <w:t xml:space="preserve"> </w:t>
      </w:r>
      <w:proofErr w:type="spellStart"/>
      <w:r>
        <w:t>Deansgate</w:t>
      </w:r>
      <w:proofErr w:type="spellEnd"/>
    </w:p>
    <w:p w14:paraId="52C49AAC" w14:textId="77777777" w:rsidR="00290561" w:rsidRPr="002C2A81" w:rsidRDefault="00290561" w:rsidP="00290561">
      <w:pPr>
        <w:pStyle w:val="ListParagraph"/>
        <w:numPr>
          <w:ilvl w:val="0"/>
          <w:numId w:val="0"/>
        </w:numPr>
        <w:ind w:left="360"/>
      </w:pPr>
    </w:p>
    <w:p w14:paraId="3B4AC52C" w14:textId="77777777" w:rsidR="00290561" w:rsidRPr="00290561" w:rsidRDefault="00290561" w:rsidP="00290561">
      <w:pPr>
        <w:pStyle w:val="ListParagraph"/>
        <w:numPr>
          <w:ilvl w:val="1"/>
          <w:numId w:val="1"/>
        </w:numPr>
        <w:ind w:left="851" w:hanging="491"/>
        <w:rPr>
          <w:b/>
          <w:lang w:eastAsia="en-GB"/>
        </w:rPr>
      </w:pPr>
      <w:r w:rsidRPr="00290561">
        <w:rPr>
          <w:lang w:eastAsia="en-GB"/>
        </w:rPr>
        <w:t xml:space="preserve">The charge for breakout rooms is £700, which is double the cost of breakout space at Blackpool.  </w:t>
      </w:r>
    </w:p>
    <w:p w14:paraId="0CC9F001" w14:textId="77777777" w:rsidR="00290561" w:rsidRPr="00290561" w:rsidRDefault="00290561" w:rsidP="00290561">
      <w:pPr>
        <w:pStyle w:val="ListParagraph"/>
        <w:numPr>
          <w:ilvl w:val="0"/>
          <w:numId w:val="0"/>
        </w:numPr>
        <w:ind w:left="851"/>
        <w:rPr>
          <w:b/>
          <w:lang w:eastAsia="en-GB"/>
        </w:rPr>
      </w:pPr>
    </w:p>
    <w:p w14:paraId="3E7AEE25" w14:textId="77777777" w:rsidR="00290561" w:rsidRPr="00290561" w:rsidRDefault="00290561" w:rsidP="00290561">
      <w:pPr>
        <w:pStyle w:val="ListParagraph"/>
        <w:numPr>
          <w:ilvl w:val="1"/>
          <w:numId w:val="1"/>
        </w:numPr>
        <w:ind w:left="851" w:hanging="491"/>
        <w:rPr>
          <w:b/>
          <w:lang w:eastAsia="en-GB"/>
        </w:rPr>
      </w:pPr>
      <w:r w:rsidRPr="00290561">
        <w:rPr>
          <w:lang w:eastAsia="en-GB"/>
        </w:rPr>
        <w:t>One of the rooms available is fixed and can only accommodate 30 – although there may be some flexibility with the other rooms.</w:t>
      </w:r>
    </w:p>
    <w:p w14:paraId="3A090040" w14:textId="77777777" w:rsidR="00290561" w:rsidRPr="00290561" w:rsidRDefault="00290561" w:rsidP="00290561">
      <w:pPr>
        <w:pStyle w:val="ListParagraph"/>
        <w:numPr>
          <w:ilvl w:val="0"/>
          <w:numId w:val="0"/>
        </w:numPr>
        <w:ind w:left="851"/>
        <w:rPr>
          <w:b/>
          <w:lang w:eastAsia="en-GB"/>
        </w:rPr>
      </w:pPr>
    </w:p>
    <w:p w14:paraId="0D0ECE06" w14:textId="77777777" w:rsidR="00290561" w:rsidRDefault="00290561" w:rsidP="00290561">
      <w:pPr>
        <w:pStyle w:val="ListParagraph"/>
        <w:numPr>
          <w:ilvl w:val="1"/>
          <w:numId w:val="1"/>
        </w:numPr>
        <w:ind w:left="851" w:hanging="491"/>
        <w:rPr>
          <w:lang w:eastAsia="en-GB"/>
        </w:rPr>
      </w:pPr>
      <w:r w:rsidRPr="00290561">
        <w:rPr>
          <w:lang w:eastAsia="en-GB"/>
        </w:rPr>
        <w:t>There is no on site car parking – although there is a NCP car park nearby.</w:t>
      </w:r>
    </w:p>
    <w:p w14:paraId="732D1C70" w14:textId="77777777" w:rsidR="00290561" w:rsidRPr="00290561" w:rsidRDefault="00290561" w:rsidP="00290561">
      <w:pPr>
        <w:pStyle w:val="ListParagraph"/>
        <w:numPr>
          <w:ilvl w:val="0"/>
          <w:numId w:val="0"/>
        </w:numPr>
        <w:ind w:left="851"/>
        <w:rPr>
          <w:lang w:eastAsia="en-GB"/>
        </w:rPr>
      </w:pPr>
    </w:p>
    <w:p w14:paraId="0C0261B9" w14:textId="77777777" w:rsidR="00290561" w:rsidRDefault="00290561" w:rsidP="00290561">
      <w:pPr>
        <w:pStyle w:val="ListParagraph"/>
        <w:numPr>
          <w:ilvl w:val="1"/>
          <w:numId w:val="1"/>
        </w:numPr>
        <w:ind w:left="851" w:hanging="491"/>
        <w:rPr>
          <w:lang w:eastAsia="en-GB"/>
        </w:rPr>
      </w:pPr>
      <w:r w:rsidRPr="00290561">
        <w:rPr>
          <w:lang w:eastAsia="en-GB"/>
        </w:rPr>
        <w:t>There would not be external space for demonstrations.</w:t>
      </w:r>
    </w:p>
    <w:p w14:paraId="065B5F56" w14:textId="77777777" w:rsidR="00290561" w:rsidRPr="00290561" w:rsidRDefault="00290561" w:rsidP="00290561">
      <w:pPr>
        <w:pStyle w:val="ListParagraph"/>
        <w:numPr>
          <w:ilvl w:val="0"/>
          <w:numId w:val="0"/>
        </w:numPr>
        <w:ind w:left="851"/>
        <w:rPr>
          <w:lang w:eastAsia="en-GB"/>
        </w:rPr>
      </w:pPr>
    </w:p>
    <w:p w14:paraId="526BA9C2" w14:textId="77777777" w:rsidR="00290561" w:rsidRDefault="00290561" w:rsidP="00290561">
      <w:pPr>
        <w:pStyle w:val="ListParagraph"/>
        <w:numPr>
          <w:ilvl w:val="1"/>
          <w:numId w:val="1"/>
        </w:numPr>
        <w:ind w:left="993" w:hanging="574"/>
        <w:rPr>
          <w:lang w:eastAsia="en-GB"/>
        </w:rPr>
      </w:pPr>
      <w:r w:rsidRPr="00290561">
        <w:rPr>
          <w:lang w:eastAsia="en-GB"/>
        </w:rPr>
        <w:t>It is the most expensive of the two venues particularly for overnight accommodation.</w:t>
      </w:r>
    </w:p>
    <w:p w14:paraId="7A650FAD" w14:textId="77777777" w:rsidR="00290561" w:rsidRPr="00290561" w:rsidRDefault="00290561" w:rsidP="00290561">
      <w:pPr>
        <w:pStyle w:val="ListParagraph"/>
        <w:numPr>
          <w:ilvl w:val="0"/>
          <w:numId w:val="0"/>
        </w:numPr>
        <w:ind w:left="993"/>
        <w:rPr>
          <w:lang w:eastAsia="en-GB"/>
        </w:rPr>
      </w:pPr>
    </w:p>
    <w:p w14:paraId="12174AD9" w14:textId="77777777" w:rsidR="00290561" w:rsidRDefault="00290561" w:rsidP="00290561">
      <w:pPr>
        <w:pStyle w:val="ListParagraph"/>
        <w:numPr>
          <w:ilvl w:val="1"/>
          <w:numId w:val="1"/>
        </w:numPr>
        <w:ind w:left="851" w:hanging="491"/>
        <w:rPr>
          <w:lang w:eastAsia="en-GB"/>
        </w:rPr>
      </w:pPr>
      <w:r w:rsidRPr="00290561">
        <w:rPr>
          <w:lang w:eastAsia="en-GB"/>
        </w:rPr>
        <w:t>We are on second option but we have been told that we should be able to secure this date if we do wish to proceed</w:t>
      </w:r>
      <w:r>
        <w:rPr>
          <w:lang w:eastAsia="en-GB"/>
        </w:rPr>
        <w:t>.</w:t>
      </w:r>
    </w:p>
    <w:p w14:paraId="2EEA16A9" w14:textId="77777777" w:rsidR="00290561" w:rsidRDefault="00290561" w:rsidP="00290561">
      <w:pPr>
        <w:rPr>
          <w:b/>
          <w:lang w:eastAsia="en-GB"/>
        </w:rPr>
      </w:pPr>
    </w:p>
    <w:p w14:paraId="2DAAE83C" w14:textId="3D0E9313" w:rsidR="00290561" w:rsidRPr="00290561" w:rsidRDefault="00290561" w:rsidP="00290561">
      <w:pPr>
        <w:rPr>
          <w:b/>
          <w:lang w:eastAsia="en-GB"/>
        </w:rPr>
      </w:pPr>
      <w:r w:rsidRPr="00290561">
        <w:rPr>
          <w:b/>
          <w:lang w:eastAsia="en-GB"/>
        </w:rPr>
        <w:lastRenderedPageBreak/>
        <w:t>Recommendations</w:t>
      </w:r>
    </w:p>
    <w:p w14:paraId="4D96D477" w14:textId="796AA810" w:rsidR="00290561" w:rsidRPr="002C2A81" w:rsidRDefault="00290561" w:rsidP="00290561">
      <w:pPr>
        <w:pStyle w:val="ListParagraph"/>
        <w:rPr>
          <w:lang w:eastAsia="en-GB"/>
        </w:rPr>
      </w:pPr>
      <w:r>
        <w:rPr>
          <w:lang w:eastAsia="en-GB"/>
        </w:rPr>
        <w:t xml:space="preserve"> </w:t>
      </w:r>
      <w:r w:rsidRPr="00290561">
        <w:rPr>
          <w:lang w:eastAsia="en-GB"/>
        </w:rPr>
        <w:t>Members are asked to consider the two venue options and agree in principle the date and venue for 2020.</w:t>
      </w:r>
    </w:p>
    <w:p w14:paraId="5837A1C8" w14:textId="77777777" w:rsidR="009B6F95" w:rsidRPr="00C803F3" w:rsidRDefault="009B6F95"/>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4D1EE2" w:rsidRPr="00C803F3" w:rsidRDefault="004D1EE2" w:rsidP="00C803F3">
      <w:r>
        <w:separator/>
      </w:r>
    </w:p>
  </w:endnote>
  <w:endnote w:type="continuationSeparator" w:id="0">
    <w:p w14:paraId="5837A1CE" w14:textId="77777777" w:rsidR="004D1EE2" w:rsidRPr="00C803F3" w:rsidRDefault="004D1EE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4D1EE2" w:rsidRPr="00C803F3" w:rsidRDefault="004D1EE2" w:rsidP="00C803F3">
      <w:r>
        <w:separator/>
      </w:r>
    </w:p>
  </w:footnote>
  <w:footnote w:type="continuationSeparator" w:id="0">
    <w:p w14:paraId="5837A1CC" w14:textId="77777777" w:rsidR="004D1EE2" w:rsidRPr="00C803F3" w:rsidRDefault="004D1EE2"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4D1EE2" w:rsidRDefault="004D1EE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D1EE2" w:rsidRPr="00C25CA7" w14:paraId="5837A1D2" w14:textId="77777777" w:rsidTr="000F69FB">
      <w:trPr>
        <w:trHeight w:val="416"/>
      </w:trPr>
      <w:tc>
        <w:tcPr>
          <w:tcW w:w="5812" w:type="dxa"/>
          <w:vMerge w:val="restart"/>
        </w:tcPr>
        <w:p w14:paraId="5837A1D0" w14:textId="77777777" w:rsidR="004D1EE2" w:rsidRPr="00C803F3" w:rsidRDefault="004D1EE2"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Content>
          <w:tc>
            <w:tcPr>
              <w:tcW w:w="4106" w:type="dxa"/>
            </w:tcPr>
            <w:p w14:paraId="08AA6F3D" w14:textId="77777777" w:rsidR="004D1EE2" w:rsidRDefault="004D1EE2" w:rsidP="004D1EE2">
              <w:pPr>
                <w:ind w:left="0" w:firstLine="0"/>
                <w:rPr>
                  <w:b/>
                </w:rPr>
              </w:pPr>
              <w:r w:rsidRPr="004D1EE2">
                <w:rPr>
                  <w:b/>
                </w:rPr>
                <w:t>Fire Services Management Committee</w:t>
              </w:r>
            </w:p>
            <w:p w14:paraId="5837A1D1" w14:textId="0D7A2791" w:rsidR="004D1EE2" w:rsidRPr="00C803F3" w:rsidRDefault="004D1EE2" w:rsidP="004D1EE2">
              <w:pPr>
                <w:ind w:left="0" w:firstLine="0"/>
              </w:pPr>
            </w:p>
          </w:tc>
        </w:sdtContent>
      </w:sdt>
    </w:tr>
    <w:tr w:rsidR="004D1EE2" w14:paraId="5837A1D5" w14:textId="77777777" w:rsidTr="000F69FB">
      <w:trPr>
        <w:trHeight w:val="406"/>
      </w:trPr>
      <w:tc>
        <w:tcPr>
          <w:tcW w:w="5812" w:type="dxa"/>
          <w:vMerge/>
        </w:tcPr>
        <w:p w14:paraId="5837A1D3" w14:textId="77777777" w:rsidR="004D1EE2" w:rsidRPr="00A627DD" w:rsidRDefault="004D1EE2" w:rsidP="00C803F3"/>
      </w:tc>
      <w:tc>
        <w:tcPr>
          <w:tcW w:w="4106" w:type="dxa"/>
        </w:tcPr>
        <w:sdt>
          <w:sdtPr>
            <w:alias w:val="Date"/>
            <w:tag w:val="Date"/>
            <w:id w:val="-488943452"/>
            <w:placeholder>
              <w:docPart w:val="DC36D9B85A214F14AB68618A90760C36"/>
            </w:placeholder>
            <w:date w:fullDate="2019-01-25T00:00:00Z">
              <w:dateFormat w:val="dd MMMM yyyy"/>
              <w:lid w:val="en-GB"/>
              <w:storeMappedDataAs w:val="dateTime"/>
              <w:calendar w:val="gregorian"/>
            </w:date>
          </w:sdtPr>
          <w:sdtContent>
            <w:p w14:paraId="5837A1D4" w14:textId="55B12A23" w:rsidR="004D1EE2" w:rsidRPr="00C803F3" w:rsidRDefault="004D1EE2" w:rsidP="00C803F3">
              <w:r>
                <w:t>25 January 2019</w:t>
              </w:r>
            </w:p>
          </w:sdtContent>
        </w:sdt>
      </w:tc>
    </w:tr>
    <w:tr w:rsidR="004D1EE2" w:rsidRPr="00C25CA7" w14:paraId="5837A1D8" w14:textId="77777777" w:rsidTr="000F69FB">
      <w:trPr>
        <w:trHeight w:val="89"/>
      </w:trPr>
      <w:tc>
        <w:tcPr>
          <w:tcW w:w="5812" w:type="dxa"/>
          <w:vMerge/>
        </w:tcPr>
        <w:p w14:paraId="5837A1D6" w14:textId="77777777" w:rsidR="004D1EE2" w:rsidRPr="00A627DD" w:rsidRDefault="004D1EE2" w:rsidP="00C803F3"/>
      </w:tc>
      <w:tc>
        <w:tcPr>
          <w:tcW w:w="4106" w:type="dxa"/>
        </w:tcPr>
        <w:sdt>
          <w:sdtPr>
            <w:alias w:val="Item no."/>
            <w:tag w:val="Item no."/>
            <w:id w:val="-624237752"/>
            <w:placeholder>
              <w:docPart w:val="E82C81CF1FFA4ABEBE434B5B73B7C3E5"/>
            </w:placeholder>
          </w:sdtPr>
          <w:sdtContent>
            <w:p w14:paraId="5837A1D7" w14:textId="54314A9D" w:rsidR="004D1EE2" w:rsidRPr="00C803F3" w:rsidRDefault="004D1EE2" w:rsidP="004D1EE2">
              <w:r>
                <w:t xml:space="preserve">   </w:t>
              </w:r>
            </w:p>
          </w:sdtContent>
        </w:sdt>
      </w:tc>
    </w:tr>
  </w:tbl>
  <w:p w14:paraId="5837A1D9" w14:textId="77777777" w:rsidR="004D1EE2" w:rsidRDefault="004D1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1DBF"/>
    <w:multiLevelType w:val="hybridMultilevel"/>
    <w:tmpl w:val="C0947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57D1D"/>
    <w:multiLevelType w:val="multilevel"/>
    <w:tmpl w:val="B27E1302"/>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1137"/>
        </w:tabs>
        <w:ind w:left="1137" w:hanging="57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94ECB018"/>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EC5E85"/>
    <w:multiLevelType w:val="hybridMultilevel"/>
    <w:tmpl w:val="E362A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D13FD"/>
    <w:multiLevelType w:val="hybridMultilevel"/>
    <w:tmpl w:val="195E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81F17"/>
    <w:multiLevelType w:val="multilevel"/>
    <w:tmpl w:val="949EF7C8"/>
    <w:lvl w:ilvl="0">
      <w:start w:val="1"/>
      <w:numFmt w:val="decimal"/>
      <w:lvlText w:val="3.%1"/>
      <w:lvlJc w:val="left"/>
      <w:pPr>
        <w:tabs>
          <w:tab w:val="num" w:pos="1134"/>
        </w:tabs>
        <w:ind w:left="1134" w:hanging="567"/>
      </w:pPr>
      <w:rPr>
        <w:rFonts w:ascii="Arial" w:hAnsi="Arial" w:hint="default"/>
        <w:b w:val="0"/>
        <w:i w:val="0"/>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7DDF153F"/>
    <w:multiLevelType w:val="hybridMultilevel"/>
    <w:tmpl w:val="996C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B36CE"/>
    <w:rsid w:val="002539E9"/>
    <w:rsid w:val="00290561"/>
    <w:rsid w:val="00301A51"/>
    <w:rsid w:val="004D1EE2"/>
    <w:rsid w:val="00712C86"/>
    <w:rsid w:val="007622BA"/>
    <w:rsid w:val="00795C95"/>
    <w:rsid w:val="0080661C"/>
    <w:rsid w:val="00891AE9"/>
    <w:rsid w:val="009B1AA8"/>
    <w:rsid w:val="009B6F95"/>
    <w:rsid w:val="00B84F31"/>
    <w:rsid w:val="00C803F3"/>
    <w:rsid w:val="00D45B4D"/>
    <w:rsid w:val="00DA73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D1EE2"/>
    <w:pPr>
      <w:ind w:left="0" w:firstLine="0"/>
    </w:pPr>
  </w:style>
  <w:style w:type="character" w:customStyle="1" w:styleId="Title3Char">
    <w:name w:val="Title 3 Char"/>
    <w:basedOn w:val="DefaultParagraphFont"/>
    <w:link w:val="Title3"/>
    <w:rsid w:val="004D1EE2"/>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52C62D73F0FC42128968D36894ABCCA0"/>
        <w:category>
          <w:name w:val="General"/>
          <w:gallery w:val="placeholder"/>
        </w:category>
        <w:types>
          <w:type w:val="bbPlcHdr"/>
        </w:types>
        <w:behaviors>
          <w:behavior w:val="content"/>
        </w:behaviors>
        <w:guid w:val="{E51CD277-0901-402D-87F4-914E3BF9F513}"/>
      </w:docPartPr>
      <w:docPartBody>
        <w:p w:rsidR="006E4FE3" w:rsidRDefault="004E2C7C" w:rsidP="004E2C7C">
          <w:pPr>
            <w:pStyle w:val="52C62D73F0FC42128968D36894ABCCA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6E4FE3"/>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elements/1.1/"/>
    <ds:schemaRef ds:uri="http://purl.org/dc/terms/"/>
    <ds:schemaRef ds:uri="http://schemas.microsoft.com/office/2006/metadata/properties"/>
    <ds:schemaRef ds:uri="http://www.w3.org/XML/1998/namespace"/>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C792BE85</Template>
  <TotalTime>1</TotalTime>
  <Pages>6</Pages>
  <Words>939</Words>
  <Characters>5355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2</cp:revision>
  <dcterms:created xsi:type="dcterms:W3CDTF">2019-01-18T15:04:00Z</dcterms:created>
  <dcterms:modified xsi:type="dcterms:W3CDTF">2019-01-18T15:04:00Z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